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EBFFA" w14:textId="77777777" w:rsidR="00BB66D1" w:rsidRPr="004801AD" w:rsidRDefault="00AD5299" w:rsidP="00E44C90">
      <w:pPr>
        <w:spacing w:line="360" w:lineRule="auto"/>
        <w:jc w:val="both"/>
        <w:rPr>
          <w:rFonts w:ascii="Garamond" w:hAnsi="Garamond"/>
          <w:sz w:val="28"/>
          <w:szCs w:val="28"/>
        </w:rPr>
      </w:pPr>
      <w:r w:rsidRPr="004801AD">
        <w:rPr>
          <w:rFonts w:ascii="Garamond" w:hAnsi="Garamond"/>
          <w:noProof/>
          <w:sz w:val="28"/>
          <w:szCs w:val="28"/>
          <w:lang w:val="es-AR" w:eastAsia="es-AR"/>
        </w:rPr>
        <w:drawing>
          <wp:inline distT="0" distB="0" distL="0" distR="0" wp14:anchorId="0F40ECFA" wp14:editId="48CFF761">
            <wp:extent cx="1962150" cy="6000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962150" cy="600075"/>
                    </a:xfrm>
                    <a:prstGeom prst="rect">
                      <a:avLst/>
                    </a:prstGeom>
                    <a:noFill/>
                    <a:ln w="9525">
                      <a:noFill/>
                      <a:miter lim="800000"/>
                      <a:headEnd/>
                      <a:tailEnd/>
                    </a:ln>
                  </pic:spPr>
                </pic:pic>
              </a:graphicData>
            </a:graphic>
          </wp:inline>
        </w:drawing>
      </w:r>
    </w:p>
    <w:p w14:paraId="5AD79BC2" w14:textId="77777777" w:rsidR="00B87270" w:rsidRPr="004801AD" w:rsidRDefault="00B87270" w:rsidP="00E44C90">
      <w:pPr>
        <w:widowControl w:val="0"/>
        <w:autoSpaceDE w:val="0"/>
        <w:autoSpaceDN w:val="0"/>
        <w:adjustRightInd w:val="0"/>
        <w:spacing w:after="120" w:line="360" w:lineRule="auto"/>
        <w:jc w:val="both"/>
        <w:rPr>
          <w:rFonts w:ascii="Garamond" w:hAnsi="Garamond"/>
          <w:sz w:val="28"/>
          <w:szCs w:val="28"/>
          <w:lang w:eastAsia="es-ES"/>
        </w:rPr>
      </w:pPr>
    </w:p>
    <w:p w14:paraId="1C7F3553" w14:textId="6031F3E6" w:rsidR="00B87270" w:rsidRDefault="00E44C90" w:rsidP="00E44C90">
      <w:pPr>
        <w:widowControl w:val="0"/>
        <w:autoSpaceDE w:val="0"/>
        <w:autoSpaceDN w:val="0"/>
        <w:adjustRightInd w:val="0"/>
        <w:spacing w:after="120" w:line="360" w:lineRule="auto"/>
        <w:jc w:val="both"/>
        <w:rPr>
          <w:rFonts w:ascii="Garamond" w:hAnsi="Garamond"/>
          <w:b/>
          <w:color w:val="203878"/>
          <w:sz w:val="28"/>
          <w:szCs w:val="28"/>
          <w:lang w:eastAsia="es-ES"/>
        </w:rPr>
      </w:pPr>
      <w:r w:rsidRPr="004801AD">
        <w:rPr>
          <w:rFonts w:ascii="Garamond" w:hAnsi="Garamond"/>
          <w:b/>
          <w:color w:val="203878"/>
          <w:sz w:val="28"/>
          <w:szCs w:val="28"/>
          <w:lang w:eastAsia="es-ES"/>
        </w:rPr>
        <w:t xml:space="preserve">LANZAMIENTO DEL NUEVO SUPLEMENTO CIVIL Y COMERCIAL FEDERAL </w:t>
      </w:r>
    </w:p>
    <w:p w14:paraId="3ACEDC0E" w14:textId="77777777" w:rsidR="004801AD" w:rsidRPr="004801AD" w:rsidRDefault="004801AD" w:rsidP="00E44C90">
      <w:pPr>
        <w:widowControl w:val="0"/>
        <w:autoSpaceDE w:val="0"/>
        <w:autoSpaceDN w:val="0"/>
        <w:adjustRightInd w:val="0"/>
        <w:spacing w:after="120" w:line="360" w:lineRule="auto"/>
        <w:jc w:val="both"/>
        <w:rPr>
          <w:rFonts w:ascii="Garamond" w:hAnsi="Garamond"/>
          <w:b/>
          <w:color w:val="203878"/>
          <w:sz w:val="28"/>
          <w:szCs w:val="28"/>
          <w:lang w:eastAsia="es-ES"/>
        </w:rPr>
      </w:pPr>
    </w:p>
    <w:bookmarkStart w:id="0" w:name="_GoBack"/>
    <w:bookmarkEnd w:id="0"/>
    <w:p w14:paraId="3940C244" w14:textId="77777777" w:rsidR="00A95423" w:rsidRDefault="00566F70">
      <w:pPr>
        <w:pStyle w:val="TDC1"/>
        <w:tabs>
          <w:tab w:val="left" w:pos="440"/>
          <w:tab w:val="right" w:leader="dot" w:pos="8495"/>
        </w:tabs>
        <w:rPr>
          <w:rFonts w:asciiTheme="minorHAnsi" w:eastAsiaTheme="minorEastAsia" w:hAnsiTheme="minorHAnsi" w:cstheme="minorBidi"/>
          <w:noProof/>
          <w:sz w:val="22"/>
          <w:szCs w:val="22"/>
          <w:lang w:val="es-AR" w:eastAsia="es-AR"/>
        </w:rPr>
      </w:pPr>
      <w:r w:rsidRPr="004801AD">
        <w:rPr>
          <w:rFonts w:ascii="Garamond" w:hAnsi="Garamond"/>
          <w:color w:val="203878"/>
          <w:sz w:val="28"/>
          <w:szCs w:val="28"/>
          <w:lang w:eastAsia="es-ES"/>
        </w:rPr>
        <w:fldChar w:fldCharType="begin"/>
      </w:r>
      <w:r w:rsidRPr="004801AD">
        <w:rPr>
          <w:rFonts w:ascii="Garamond" w:hAnsi="Garamond"/>
          <w:color w:val="203878"/>
          <w:sz w:val="28"/>
          <w:szCs w:val="28"/>
          <w:lang w:eastAsia="es-ES"/>
        </w:rPr>
        <w:instrText xml:space="preserve"> TOC \o "1-3" \h \z \u </w:instrText>
      </w:r>
      <w:r w:rsidRPr="004801AD">
        <w:rPr>
          <w:rFonts w:ascii="Garamond" w:hAnsi="Garamond"/>
          <w:color w:val="203878"/>
          <w:sz w:val="28"/>
          <w:szCs w:val="28"/>
          <w:lang w:eastAsia="es-ES"/>
        </w:rPr>
        <w:fldChar w:fldCharType="separate"/>
      </w:r>
      <w:hyperlink w:anchor="_Toc19113547" w:history="1">
        <w:r w:rsidR="00A95423" w:rsidRPr="00CB7E9B">
          <w:rPr>
            <w:rStyle w:val="Hipervnculo"/>
            <w:noProof/>
            <w:lang w:eastAsia="es-ES"/>
          </w:rPr>
          <w:t>I.</w:t>
        </w:r>
        <w:r w:rsidR="00A95423">
          <w:rPr>
            <w:rFonts w:asciiTheme="minorHAnsi" w:eastAsiaTheme="minorEastAsia" w:hAnsiTheme="minorHAnsi" w:cstheme="minorBidi"/>
            <w:noProof/>
            <w:sz w:val="22"/>
            <w:szCs w:val="22"/>
            <w:lang w:val="es-AR" w:eastAsia="es-AR"/>
          </w:rPr>
          <w:tab/>
        </w:r>
        <w:r w:rsidR="00A95423" w:rsidRPr="00CB7E9B">
          <w:rPr>
            <w:rStyle w:val="Hipervnculo"/>
            <w:noProof/>
            <w:lang w:eastAsia="es-ES"/>
          </w:rPr>
          <w:t>Introducción</w:t>
        </w:r>
        <w:r w:rsidR="00A95423">
          <w:rPr>
            <w:noProof/>
            <w:webHidden/>
          </w:rPr>
          <w:tab/>
        </w:r>
        <w:r w:rsidR="00A95423">
          <w:rPr>
            <w:noProof/>
            <w:webHidden/>
          </w:rPr>
          <w:fldChar w:fldCharType="begin"/>
        </w:r>
        <w:r w:rsidR="00A95423">
          <w:rPr>
            <w:noProof/>
            <w:webHidden/>
          </w:rPr>
          <w:instrText xml:space="preserve"> PAGEREF _Toc19113547 \h </w:instrText>
        </w:r>
        <w:r w:rsidR="00A95423">
          <w:rPr>
            <w:noProof/>
            <w:webHidden/>
          </w:rPr>
        </w:r>
        <w:r w:rsidR="00A95423">
          <w:rPr>
            <w:noProof/>
            <w:webHidden/>
          </w:rPr>
          <w:fldChar w:fldCharType="separate"/>
        </w:r>
        <w:r w:rsidR="00A95423">
          <w:rPr>
            <w:noProof/>
            <w:webHidden/>
          </w:rPr>
          <w:t>1</w:t>
        </w:r>
        <w:r w:rsidR="00A95423">
          <w:rPr>
            <w:noProof/>
            <w:webHidden/>
          </w:rPr>
          <w:fldChar w:fldCharType="end"/>
        </w:r>
      </w:hyperlink>
    </w:p>
    <w:p w14:paraId="04698DB0" w14:textId="77777777" w:rsidR="00A95423" w:rsidRDefault="00A95423">
      <w:pPr>
        <w:pStyle w:val="TDC1"/>
        <w:tabs>
          <w:tab w:val="left" w:pos="440"/>
          <w:tab w:val="right" w:leader="dot" w:pos="8495"/>
        </w:tabs>
        <w:rPr>
          <w:rFonts w:asciiTheme="minorHAnsi" w:eastAsiaTheme="minorEastAsia" w:hAnsiTheme="minorHAnsi" w:cstheme="minorBidi"/>
          <w:noProof/>
          <w:sz w:val="22"/>
          <w:szCs w:val="22"/>
          <w:lang w:val="es-AR" w:eastAsia="es-AR"/>
        </w:rPr>
      </w:pPr>
      <w:hyperlink w:anchor="_Toc19113548" w:history="1">
        <w:r w:rsidRPr="00CB7E9B">
          <w:rPr>
            <w:rStyle w:val="Hipervnculo"/>
            <w:noProof/>
            <w:lang w:eastAsia="es-ES"/>
          </w:rPr>
          <w:t>I.</w:t>
        </w:r>
        <w:r>
          <w:rPr>
            <w:rFonts w:asciiTheme="minorHAnsi" w:eastAsiaTheme="minorEastAsia" w:hAnsiTheme="minorHAnsi" w:cstheme="minorBidi"/>
            <w:noProof/>
            <w:sz w:val="22"/>
            <w:szCs w:val="22"/>
            <w:lang w:val="es-AR" w:eastAsia="es-AR"/>
          </w:rPr>
          <w:tab/>
        </w:r>
        <w:r w:rsidRPr="00CB7E9B">
          <w:rPr>
            <w:rStyle w:val="Hipervnculo"/>
            <w:noProof/>
            <w:lang w:eastAsia="es-ES"/>
          </w:rPr>
          <w:t>Análisis Histórico</w:t>
        </w:r>
        <w:r>
          <w:rPr>
            <w:noProof/>
            <w:webHidden/>
          </w:rPr>
          <w:tab/>
        </w:r>
        <w:r>
          <w:rPr>
            <w:noProof/>
            <w:webHidden/>
          </w:rPr>
          <w:fldChar w:fldCharType="begin"/>
        </w:r>
        <w:r>
          <w:rPr>
            <w:noProof/>
            <w:webHidden/>
          </w:rPr>
          <w:instrText xml:space="preserve"> PAGEREF _Toc19113548 \h </w:instrText>
        </w:r>
        <w:r>
          <w:rPr>
            <w:noProof/>
            <w:webHidden/>
          </w:rPr>
        </w:r>
        <w:r>
          <w:rPr>
            <w:noProof/>
            <w:webHidden/>
          </w:rPr>
          <w:fldChar w:fldCharType="separate"/>
        </w:r>
        <w:r>
          <w:rPr>
            <w:noProof/>
            <w:webHidden/>
          </w:rPr>
          <w:t>2</w:t>
        </w:r>
        <w:r>
          <w:rPr>
            <w:noProof/>
            <w:webHidden/>
          </w:rPr>
          <w:fldChar w:fldCharType="end"/>
        </w:r>
      </w:hyperlink>
    </w:p>
    <w:p w14:paraId="606D4A63" w14:textId="77777777" w:rsidR="00A95423" w:rsidRDefault="00A95423">
      <w:pPr>
        <w:pStyle w:val="TDC1"/>
        <w:tabs>
          <w:tab w:val="left" w:pos="660"/>
          <w:tab w:val="right" w:leader="dot" w:pos="8495"/>
        </w:tabs>
        <w:rPr>
          <w:rFonts w:asciiTheme="minorHAnsi" w:eastAsiaTheme="minorEastAsia" w:hAnsiTheme="minorHAnsi" w:cstheme="minorBidi"/>
          <w:noProof/>
          <w:sz w:val="22"/>
          <w:szCs w:val="22"/>
          <w:lang w:val="es-AR" w:eastAsia="es-AR"/>
        </w:rPr>
      </w:pPr>
      <w:hyperlink w:anchor="_Toc19113549" w:history="1">
        <w:r w:rsidRPr="00CB7E9B">
          <w:rPr>
            <w:rStyle w:val="Hipervnculo"/>
            <w:noProof/>
          </w:rPr>
          <w:t>II.</w:t>
        </w:r>
        <w:r>
          <w:rPr>
            <w:rFonts w:asciiTheme="minorHAnsi" w:eastAsiaTheme="minorEastAsia" w:hAnsiTheme="minorHAnsi" w:cstheme="minorBidi"/>
            <w:noProof/>
            <w:sz w:val="22"/>
            <w:szCs w:val="22"/>
            <w:lang w:val="es-AR" w:eastAsia="es-AR"/>
          </w:rPr>
          <w:tab/>
        </w:r>
        <w:r w:rsidRPr="00CB7E9B">
          <w:rPr>
            <w:rStyle w:val="Hipervnculo"/>
            <w:noProof/>
          </w:rPr>
          <w:t>Tribunales judiciales con competencia federal</w:t>
        </w:r>
        <w:r>
          <w:rPr>
            <w:noProof/>
            <w:webHidden/>
          </w:rPr>
          <w:tab/>
        </w:r>
        <w:r>
          <w:rPr>
            <w:noProof/>
            <w:webHidden/>
          </w:rPr>
          <w:fldChar w:fldCharType="begin"/>
        </w:r>
        <w:r>
          <w:rPr>
            <w:noProof/>
            <w:webHidden/>
          </w:rPr>
          <w:instrText xml:space="preserve"> PAGEREF _Toc19113549 \h </w:instrText>
        </w:r>
        <w:r>
          <w:rPr>
            <w:noProof/>
            <w:webHidden/>
          </w:rPr>
        </w:r>
        <w:r>
          <w:rPr>
            <w:noProof/>
            <w:webHidden/>
          </w:rPr>
          <w:fldChar w:fldCharType="separate"/>
        </w:r>
        <w:r>
          <w:rPr>
            <w:noProof/>
            <w:webHidden/>
          </w:rPr>
          <w:t>4</w:t>
        </w:r>
        <w:r>
          <w:rPr>
            <w:noProof/>
            <w:webHidden/>
          </w:rPr>
          <w:fldChar w:fldCharType="end"/>
        </w:r>
      </w:hyperlink>
    </w:p>
    <w:p w14:paraId="5BCBB3AC" w14:textId="77777777" w:rsidR="00A95423" w:rsidRDefault="00A95423">
      <w:pPr>
        <w:pStyle w:val="TDC1"/>
        <w:tabs>
          <w:tab w:val="left" w:pos="660"/>
          <w:tab w:val="right" w:leader="dot" w:pos="8495"/>
        </w:tabs>
        <w:rPr>
          <w:rFonts w:asciiTheme="minorHAnsi" w:eastAsiaTheme="minorEastAsia" w:hAnsiTheme="minorHAnsi" w:cstheme="minorBidi"/>
          <w:noProof/>
          <w:sz w:val="22"/>
          <w:szCs w:val="22"/>
          <w:lang w:val="es-AR" w:eastAsia="es-AR"/>
        </w:rPr>
      </w:pPr>
      <w:hyperlink w:anchor="_Toc19113550" w:history="1">
        <w:r w:rsidRPr="00CB7E9B">
          <w:rPr>
            <w:rStyle w:val="Hipervnculo"/>
            <w:noProof/>
          </w:rPr>
          <w:t>III.</w:t>
        </w:r>
        <w:r>
          <w:rPr>
            <w:rFonts w:asciiTheme="minorHAnsi" w:eastAsiaTheme="minorEastAsia" w:hAnsiTheme="minorHAnsi" w:cstheme="minorBidi"/>
            <w:noProof/>
            <w:sz w:val="22"/>
            <w:szCs w:val="22"/>
            <w:lang w:val="es-AR" w:eastAsia="es-AR"/>
          </w:rPr>
          <w:tab/>
        </w:r>
        <w:r w:rsidRPr="00CB7E9B">
          <w:rPr>
            <w:rStyle w:val="Hipervnculo"/>
            <w:noProof/>
          </w:rPr>
          <w:t>Competencia civil y comercial federal</w:t>
        </w:r>
        <w:r>
          <w:rPr>
            <w:noProof/>
            <w:webHidden/>
          </w:rPr>
          <w:tab/>
        </w:r>
        <w:r>
          <w:rPr>
            <w:noProof/>
            <w:webHidden/>
          </w:rPr>
          <w:fldChar w:fldCharType="begin"/>
        </w:r>
        <w:r>
          <w:rPr>
            <w:noProof/>
            <w:webHidden/>
          </w:rPr>
          <w:instrText xml:space="preserve"> PAGEREF _Toc19113550 \h </w:instrText>
        </w:r>
        <w:r>
          <w:rPr>
            <w:noProof/>
            <w:webHidden/>
          </w:rPr>
        </w:r>
        <w:r>
          <w:rPr>
            <w:noProof/>
            <w:webHidden/>
          </w:rPr>
          <w:fldChar w:fldCharType="separate"/>
        </w:r>
        <w:r>
          <w:rPr>
            <w:noProof/>
            <w:webHidden/>
          </w:rPr>
          <w:t>5</w:t>
        </w:r>
        <w:r>
          <w:rPr>
            <w:noProof/>
            <w:webHidden/>
          </w:rPr>
          <w:fldChar w:fldCharType="end"/>
        </w:r>
      </w:hyperlink>
    </w:p>
    <w:p w14:paraId="30B8A30E" w14:textId="77777777" w:rsidR="00A95423" w:rsidRDefault="00A95423">
      <w:pPr>
        <w:pStyle w:val="TDC1"/>
        <w:tabs>
          <w:tab w:val="left" w:pos="660"/>
          <w:tab w:val="right" w:leader="dot" w:pos="8495"/>
        </w:tabs>
        <w:rPr>
          <w:rFonts w:asciiTheme="minorHAnsi" w:eastAsiaTheme="minorEastAsia" w:hAnsiTheme="minorHAnsi" w:cstheme="minorBidi"/>
          <w:noProof/>
          <w:sz w:val="22"/>
          <w:szCs w:val="22"/>
          <w:lang w:val="es-AR" w:eastAsia="es-AR"/>
        </w:rPr>
      </w:pPr>
      <w:hyperlink w:anchor="_Toc19113551" w:history="1">
        <w:r w:rsidRPr="00CB7E9B">
          <w:rPr>
            <w:rStyle w:val="Hipervnculo"/>
            <w:noProof/>
            <w:lang w:eastAsia="es-ES"/>
          </w:rPr>
          <w:t>III.</w:t>
        </w:r>
        <w:r>
          <w:rPr>
            <w:rFonts w:asciiTheme="minorHAnsi" w:eastAsiaTheme="minorEastAsia" w:hAnsiTheme="minorHAnsi" w:cstheme="minorBidi"/>
            <w:noProof/>
            <w:sz w:val="22"/>
            <w:szCs w:val="22"/>
            <w:lang w:val="es-AR" w:eastAsia="es-AR"/>
          </w:rPr>
          <w:tab/>
        </w:r>
        <w:r w:rsidRPr="00CB7E9B">
          <w:rPr>
            <w:rStyle w:val="Hipervnculo"/>
            <w:noProof/>
            <w:lang w:eastAsia="es-ES"/>
          </w:rPr>
          <w:t>Estadística del fuero</w:t>
        </w:r>
        <w:r>
          <w:rPr>
            <w:noProof/>
            <w:webHidden/>
          </w:rPr>
          <w:tab/>
        </w:r>
        <w:r>
          <w:rPr>
            <w:noProof/>
            <w:webHidden/>
          </w:rPr>
          <w:fldChar w:fldCharType="begin"/>
        </w:r>
        <w:r>
          <w:rPr>
            <w:noProof/>
            <w:webHidden/>
          </w:rPr>
          <w:instrText xml:space="preserve"> PAGEREF _Toc19113551 \h </w:instrText>
        </w:r>
        <w:r>
          <w:rPr>
            <w:noProof/>
            <w:webHidden/>
          </w:rPr>
        </w:r>
        <w:r>
          <w:rPr>
            <w:noProof/>
            <w:webHidden/>
          </w:rPr>
          <w:fldChar w:fldCharType="separate"/>
        </w:r>
        <w:r>
          <w:rPr>
            <w:noProof/>
            <w:webHidden/>
          </w:rPr>
          <w:t>7</w:t>
        </w:r>
        <w:r>
          <w:rPr>
            <w:noProof/>
            <w:webHidden/>
          </w:rPr>
          <w:fldChar w:fldCharType="end"/>
        </w:r>
      </w:hyperlink>
    </w:p>
    <w:p w14:paraId="36541432" w14:textId="77777777" w:rsidR="00A95423" w:rsidRDefault="00A95423">
      <w:pPr>
        <w:pStyle w:val="TDC1"/>
        <w:tabs>
          <w:tab w:val="left" w:pos="660"/>
          <w:tab w:val="right" w:leader="dot" w:pos="8495"/>
        </w:tabs>
        <w:rPr>
          <w:rFonts w:asciiTheme="minorHAnsi" w:eastAsiaTheme="minorEastAsia" w:hAnsiTheme="minorHAnsi" w:cstheme="minorBidi"/>
          <w:noProof/>
          <w:sz w:val="22"/>
          <w:szCs w:val="22"/>
          <w:lang w:val="es-AR" w:eastAsia="es-AR"/>
        </w:rPr>
      </w:pPr>
      <w:hyperlink w:anchor="_Toc19113552" w:history="1">
        <w:r w:rsidRPr="00CB7E9B">
          <w:rPr>
            <w:rStyle w:val="Hipervnculo"/>
            <w:noProof/>
            <w:lang w:eastAsia="es-ES"/>
          </w:rPr>
          <w:t>IV.</w:t>
        </w:r>
        <w:r>
          <w:rPr>
            <w:rFonts w:asciiTheme="minorHAnsi" w:eastAsiaTheme="minorEastAsia" w:hAnsiTheme="minorHAnsi" w:cstheme="minorBidi"/>
            <w:noProof/>
            <w:sz w:val="22"/>
            <w:szCs w:val="22"/>
            <w:lang w:val="es-AR" w:eastAsia="es-AR"/>
          </w:rPr>
          <w:tab/>
        </w:r>
        <w:r w:rsidRPr="00CB7E9B">
          <w:rPr>
            <w:rStyle w:val="Hipervnculo"/>
            <w:noProof/>
            <w:lang w:eastAsia="es-ES"/>
          </w:rPr>
          <w:t>A modo de reflexión final</w:t>
        </w:r>
        <w:r>
          <w:rPr>
            <w:noProof/>
            <w:webHidden/>
          </w:rPr>
          <w:tab/>
        </w:r>
        <w:r>
          <w:rPr>
            <w:noProof/>
            <w:webHidden/>
          </w:rPr>
          <w:fldChar w:fldCharType="begin"/>
        </w:r>
        <w:r>
          <w:rPr>
            <w:noProof/>
            <w:webHidden/>
          </w:rPr>
          <w:instrText xml:space="preserve"> PAGEREF _Toc19113552 \h </w:instrText>
        </w:r>
        <w:r>
          <w:rPr>
            <w:noProof/>
            <w:webHidden/>
          </w:rPr>
        </w:r>
        <w:r>
          <w:rPr>
            <w:noProof/>
            <w:webHidden/>
          </w:rPr>
          <w:fldChar w:fldCharType="separate"/>
        </w:r>
        <w:r>
          <w:rPr>
            <w:noProof/>
            <w:webHidden/>
          </w:rPr>
          <w:t>8</w:t>
        </w:r>
        <w:r>
          <w:rPr>
            <w:noProof/>
            <w:webHidden/>
          </w:rPr>
          <w:fldChar w:fldCharType="end"/>
        </w:r>
      </w:hyperlink>
    </w:p>
    <w:p w14:paraId="04072CC1" w14:textId="77777777" w:rsidR="00566F70" w:rsidRPr="004801AD" w:rsidRDefault="00566F70" w:rsidP="00E44C90">
      <w:pPr>
        <w:widowControl w:val="0"/>
        <w:autoSpaceDE w:val="0"/>
        <w:autoSpaceDN w:val="0"/>
        <w:adjustRightInd w:val="0"/>
        <w:spacing w:after="120" w:line="360" w:lineRule="auto"/>
        <w:jc w:val="both"/>
        <w:rPr>
          <w:rFonts w:ascii="Garamond" w:hAnsi="Garamond"/>
          <w:color w:val="203878"/>
          <w:sz w:val="28"/>
          <w:szCs w:val="28"/>
          <w:lang w:eastAsia="es-ES"/>
        </w:rPr>
      </w:pPr>
      <w:r w:rsidRPr="004801AD">
        <w:rPr>
          <w:rFonts w:ascii="Garamond" w:hAnsi="Garamond"/>
          <w:color w:val="203878"/>
          <w:sz w:val="28"/>
          <w:szCs w:val="28"/>
          <w:lang w:eastAsia="es-ES"/>
        </w:rPr>
        <w:fldChar w:fldCharType="end"/>
      </w:r>
    </w:p>
    <w:p w14:paraId="1B6A6955" w14:textId="3A0DCF01" w:rsidR="00D01405" w:rsidRPr="004801AD" w:rsidRDefault="00C346ED" w:rsidP="00D01405">
      <w:pPr>
        <w:pStyle w:val="Ttulo1"/>
        <w:numPr>
          <w:ilvl w:val="0"/>
          <w:numId w:val="6"/>
        </w:numPr>
        <w:rPr>
          <w:szCs w:val="28"/>
          <w:lang w:eastAsia="es-ES"/>
        </w:rPr>
      </w:pPr>
      <w:bookmarkStart w:id="1" w:name="_Toc19113547"/>
      <w:r w:rsidRPr="004801AD">
        <w:rPr>
          <w:szCs w:val="28"/>
          <w:lang w:eastAsia="es-ES"/>
        </w:rPr>
        <w:t>Introducción</w:t>
      </w:r>
      <w:bookmarkEnd w:id="1"/>
      <w:r w:rsidR="00D01405" w:rsidRPr="004801AD">
        <w:rPr>
          <w:szCs w:val="28"/>
          <w:lang w:eastAsia="es-ES"/>
        </w:rPr>
        <w:t xml:space="preserve"> </w:t>
      </w:r>
    </w:p>
    <w:p w14:paraId="3D79ACF6" w14:textId="77777777" w:rsidR="00D01405" w:rsidRPr="004801AD" w:rsidRDefault="00D01405" w:rsidP="00D01405">
      <w:pPr>
        <w:rPr>
          <w:rFonts w:ascii="Garamond" w:hAnsi="Garamond"/>
          <w:sz w:val="28"/>
          <w:szCs w:val="28"/>
          <w:lang w:eastAsia="es-ES"/>
        </w:rPr>
      </w:pPr>
    </w:p>
    <w:p w14:paraId="7FA68CD9" w14:textId="3FA980B4" w:rsidR="00747141" w:rsidRPr="004801AD" w:rsidRDefault="00DA1D01" w:rsidP="00D01405">
      <w:pPr>
        <w:widowControl w:val="0"/>
        <w:autoSpaceDE w:val="0"/>
        <w:autoSpaceDN w:val="0"/>
        <w:adjustRightInd w:val="0"/>
        <w:spacing w:after="120" w:line="360" w:lineRule="auto"/>
        <w:ind w:firstLine="708"/>
        <w:jc w:val="both"/>
        <w:rPr>
          <w:rFonts w:ascii="Garamond" w:hAnsi="Garamond"/>
          <w:sz w:val="28"/>
          <w:szCs w:val="28"/>
          <w:lang w:eastAsia="es-ES"/>
        </w:rPr>
      </w:pPr>
      <w:r w:rsidRPr="004801AD">
        <w:rPr>
          <w:rFonts w:ascii="Garamond" w:hAnsi="Garamond"/>
          <w:sz w:val="28"/>
          <w:szCs w:val="28"/>
          <w:lang w:eastAsia="es-ES"/>
        </w:rPr>
        <w:t xml:space="preserve">El </w:t>
      </w:r>
      <w:r w:rsidR="00156460" w:rsidRPr="004801AD">
        <w:rPr>
          <w:rFonts w:ascii="Garamond" w:hAnsi="Garamond"/>
          <w:sz w:val="28"/>
          <w:szCs w:val="28"/>
          <w:lang w:eastAsia="es-ES"/>
        </w:rPr>
        <w:t>jueves</w:t>
      </w:r>
      <w:r w:rsidRPr="004801AD">
        <w:rPr>
          <w:rFonts w:ascii="Garamond" w:hAnsi="Garamond"/>
          <w:sz w:val="28"/>
          <w:szCs w:val="28"/>
          <w:lang w:eastAsia="es-ES"/>
        </w:rPr>
        <w:t xml:space="preserve"> 31 de </w:t>
      </w:r>
      <w:r w:rsidR="009B1C97" w:rsidRPr="004801AD">
        <w:rPr>
          <w:rFonts w:ascii="Garamond" w:hAnsi="Garamond"/>
          <w:sz w:val="28"/>
          <w:szCs w:val="28"/>
          <w:lang w:eastAsia="es-ES"/>
        </w:rPr>
        <w:t>octubre</w:t>
      </w:r>
      <w:r w:rsidRPr="004801AD">
        <w:rPr>
          <w:rFonts w:ascii="Garamond" w:hAnsi="Garamond"/>
          <w:sz w:val="28"/>
          <w:szCs w:val="28"/>
          <w:lang w:eastAsia="es-ES"/>
        </w:rPr>
        <w:t xml:space="preserve"> de 2013 inauguraba</w:t>
      </w:r>
      <w:r w:rsidR="00747141" w:rsidRPr="004801AD">
        <w:rPr>
          <w:rFonts w:ascii="Garamond" w:hAnsi="Garamond"/>
          <w:sz w:val="28"/>
          <w:szCs w:val="28"/>
          <w:lang w:eastAsia="es-ES"/>
        </w:rPr>
        <w:t xml:space="preserve"> como Director,</w:t>
      </w:r>
      <w:r w:rsidRPr="004801AD">
        <w:rPr>
          <w:rFonts w:ascii="Garamond" w:hAnsi="Garamond"/>
          <w:sz w:val="28"/>
          <w:szCs w:val="28"/>
          <w:lang w:eastAsia="es-ES"/>
        </w:rPr>
        <w:t xml:space="preserve"> en el dial</w:t>
      </w:r>
      <w:r w:rsidR="00747141" w:rsidRPr="004801AD">
        <w:rPr>
          <w:rFonts w:ascii="Garamond" w:hAnsi="Garamond"/>
          <w:sz w:val="28"/>
          <w:szCs w:val="28"/>
          <w:lang w:eastAsia="es-ES"/>
        </w:rPr>
        <w:t>,</w:t>
      </w:r>
      <w:r w:rsidRPr="004801AD">
        <w:rPr>
          <w:rFonts w:ascii="Garamond" w:hAnsi="Garamond"/>
          <w:sz w:val="28"/>
          <w:szCs w:val="28"/>
          <w:lang w:eastAsia="es-ES"/>
        </w:rPr>
        <w:t xml:space="preserve"> el Suplemento Contencioso Administrativo y Tributario de la ciudad de Buenos Aires, trabajando en dicho suplemento por excelsos 5 años</w:t>
      </w:r>
      <w:r w:rsidR="00D01405" w:rsidRPr="004801AD">
        <w:rPr>
          <w:rFonts w:ascii="Garamond" w:hAnsi="Garamond"/>
          <w:sz w:val="28"/>
          <w:szCs w:val="28"/>
          <w:lang w:eastAsia="es-ES"/>
        </w:rPr>
        <w:t xml:space="preserve">, con mucha satisfacción y placer. </w:t>
      </w:r>
    </w:p>
    <w:p w14:paraId="61411594" w14:textId="11E5E12E" w:rsidR="00DA1D01" w:rsidRPr="004801AD" w:rsidRDefault="00DA1D01" w:rsidP="00D01405">
      <w:pPr>
        <w:widowControl w:val="0"/>
        <w:autoSpaceDE w:val="0"/>
        <w:autoSpaceDN w:val="0"/>
        <w:adjustRightInd w:val="0"/>
        <w:spacing w:after="120" w:line="360" w:lineRule="auto"/>
        <w:ind w:firstLine="708"/>
        <w:jc w:val="both"/>
        <w:rPr>
          <w:rFonts w:ascii="Garamond" w:hAnsi="Garamond"/>
          <w:sz w:val="28"/>
          <w:szCs w:val="28"/>
          <w:lang w:eastAsia="es-ES"/>
        </w:rPr>
      </w:pPr>
      <w:r w:rsidRPr="004801AD">
        <w:rPr>
          <w:rFonts w:ascii="Garamond" w:hAnsi="Garamond"/>
          <w:sz w:val="28"/>
          <w:szCs w:val="28"/>
          <w:lang w:eastAsia="es-ES"/>
        </w:rPr>
        <w:t xml:space="preserve">Y ahora con mi </w:t>
      </w:r>
      <w:r w:rsidR="00C346ED" w:rsidRPr="004801AD">
        <w:rPr>
          <w:rFonts w:ascii="Garamond" w:hAnsi="Garamond"/>
          <w:sz w:val="28"/>
          <w:szCs w:val="28"/>
          <w:lang w:eastAsia="es-ES"/>
        </w:rPr>
        <w:t>más</w:t>
      </w:r>
      <w:r w:rsidRPr="004801AD">
        <w:rPr>
          <w:rFonts w:ascii="Garamond" w:hAnsi="Garamond"/>
          <w:sz w:val="28"/>
          <w:szCs w:val="28"/>
          <w:lang w:eastAsia="es-ES"/>
        </w:rPr>
        <w:t xml:space="preserve"> elevado </w:t>
      </w:r>
      <w:r w:rsidR="00D01405" w:rsidRPr="004801AD">
        <w:rPr>
          <w:rFonts w:ascii="Garamond" w:hAnsi="Garamond"/>
          <w:sz w:val="28"/>
          <w:szCs w:val="28"/>
          <w:lang w:eastAsia="es-ES"/>
        </w:rPr>
        <w:t xml:space="preserve">agrado </w:t>
      </w:r>
      <w:r w:rsidRPr="004801AD">
        <w:rPr>
          <w:rFonts w:ascii="Garamond" w:hAnsi="Garamond"/>
          <w:sz w:val="28"/>
          <w:szCs w:val="28"/>
          <w:lang w:eastAsia="es-ES"/>
        </w:rPr>
        <w:t xml:space="preserve">y con el mismo compromiso </w:t>
      </w:r>
      <w:r w:rsidR="00F45D0D" w:rsidRPr="004801AD">
        <w:rPr>
          <w:rFonts w:ascii="Garamond" w:hAnsi="Garamond"/>
          <w:sz w:val="28"/>
          <w:szCs w:val="28"/>
          <w:lang w:eastAsia="es-ES"/>
        </w:rPr>
        <w:t xml:space="preserve">inauguramos el Suplemento Civil y Comercial Federal. </w:t>
      </w:r>
    </w:p>
    <w:p w14:paraId="04583877" w14:textId="4DD6934F" w:rsidR="00F45D0D" w:rsidRPr="004801AD" w:rsidRDefault="00350B71" w:rsidP="00D01405">
      <w:pPr>
        <w:widowControl w:val="0"/>
        <w:autoSpaceDE w:val="0"/>
        <w:autoSpaceDN w:val="0"/>
        <w:adjustRightInd w:val="0"/>
        <w:spacing w:after="120" w:line="360" w:lineRule="auto"/>
        <w:ind w:firstLine="708"/>
        <w:jc w:val="both"/>
        <w:rPr>
          <w:rFonts w:ascii="Garamond" w:hAnsi="Garamond"/>
          <w:sz w:val="28"/>
          <w:szCs w:val="28"/>
          <w:lang w:eastAsia="es-ES"/>
        </w:rPr>
      </w:pPr>
      <w:r w:rsidRPr="004801AD">
        <w:rPr>
          <w:rFonts w:ascii="Garamond" w:hAnsi="Garamond"/>
          <w:sz w:val="28"/>
          <w:szCs w:val="28"/>
          <w:lang w:eastAsia="es-ES"/>
        </w:rPr>
        <w:t xml:space="preserve">En primer </w:t>
      </w:r>
      <w:r w:rsidR="009B1C97" w:rsidRPr="004801AD">
        <w:rPr>
          <w:rFonts w:ascii="Garamond" w:hAnsi="Garamond"/>
          <w:sz w:val="28"/>
          <w:szCs w:val="28"/>
          <w:lang w:eastAsia="es-ES"/>
        </w:rPr>
        <w:t>término,</w:t>
      </w:r>
      <w:r w:rsidRPr="004801AD">
        <w:rPr>
          <w:rFonts w:ascii="Garamond" w:hAnsi="Garamond"/>
          <w:sz w:val="28"/>
          <w:szCs w:val="28"/>
          <w:lang w:eastAsia="es-ES"/>
        </w:rPr>
        <w:t xml:space="preserve"> quiero agradecer a los Directivos de elDial.com y muy especialmente a su Directora Editorial </w:t>
      </w:r>
      <w:r w:rsidR="0092046F">
        <w:rPr>
          <w:rFonts w:ascii="Garamond" w:hAnsi="Garamond"/>
          <w:sz w:val="28"/>
          <w:szCs w:val="28"/>
          <w:lang w:eastAsia="es-ES"/>
        </w:rPr>
        <w:t xml:space="preserve">la </w:t>
      </w:r>
      <w:r w:rsidRPr="004801AD">
        <w:rPr>
          <w:rFonts w:ascii="Garamond" w:hAnsi="Garamond"/>
          <w:sz w:val="28"/>
          <w:szCs w:val="28"/>
          <w:lang w:eastAsia="es-ES"/>
        </w:rPr>
        <w:t>Dra. Romina Lozano, por haber</w:t>
      </w:r>
      <w:r w:rsidR="00F45D0D" w:rsidRPr="004801AD">
        <w:rPr>
          <w:rFonts w:ascii="Garamond" w:hAnsi="Garamond"/>
          <w:sz w:val="28"/>
          <w:szCs w:val="28"/>
          <w:lang w:eastAsia="es-ES"/>
        </w:rPr>
        <w:t xml:space="preserve">nos dado el apoyo y </w:t>
      </w:r>
      <w:r w:rsidR="00171E1B" w:rsidRPr="004801AD">
        <w:rPr>
          <w:rFonts w:ascii="Garamond" w:hAnsi="Garamond"/>
          <w:sz w:val="28"/>
          <w:szCs w:val="28"/>
          <w:lang w:eastAsia="es-ES"/>
        </w:rPr>
        <w:t xml:space="preserve">toda la </w:t>
      </w:r>
      <w:r w:rsidR="00F45D0D" w:rsidRPr="004801AD">
        <w:rPr>
          <w:rFonts w:ascii="Garamond" w:hAnsi="Garamond"/>
          <w:sz w:val="28"/>
          <w:szCs w:val="28"/>
          <w:lang w:eastAsia="es-ES"/>
        </w:rPr>
        <w:t>colaboración para la realización del</w:t>
      </w:r>
      <w:r w:rsidR="00171E1B" w:rsidRPr="004801AD">
        <w:rPr>
          <w:rFonts w:ascii="Garamond" w:hAnsi="Garamond"/>
          <w:sz w:val="28"/>
          <w:szCs w:val="28"/>
          <w:lang w:eastAsia="es-ES"/>
        </w:rPr>
        <w:t xml:space="preserve"> presente</w:t>
      </w:r>
      <w:r w:rsidR="00F45D0D" w:rsidRPr="004801AD">
        <w:rPr>
          <w:rFonts w:ascii="Garamond" w:hAnsi="Garamond"/>
          <w:sz w:val="28"/>
          <w:szCs w:val="28"/>
          <w:lang w:eastAsia="es-ES"/>
        </w:rPr>
        <w:t xml:space="preserve"> </w:t>
      </w:r>
      <w:r w:rsidR="009B1C97" w:rsidRPr="004801AD">
        <w:rPr>
          <w:rFonts w:ascii="Garamond" w:hAnsi="Garamond"/>
          <w:sz w:val="28"/>
          <w:szCs w:val="28"/>
          <w:lang w:eastAsia="es-ES"/>
        </w:rPr>
        <w:t>suplemento</w:t>
      </w:r>
      <w:r w:rsidR="00D01405" w:rsidRPr="004801AD">
        <w:rPr>
          <w:rFonts w:ascii="Garamond" w:hAnsi="Garamond"/>
          <w:sz w:val="28"/>
          <w:szCs w:val="28"/>
          <w:lang w:eastAsia="es-ES"/>
        </w:rPr>
        <w:t>. Cabe destacar el gran crecimiento que ha tenido el dial en todos estos año</w:t>
      </w:r>
      <w:r w:rsidR="0092046F">
        <w:rPr>
          <w:rFonts w:ascii="Garamond" w:hAnsi="Garamond"/>
          <w:sz w:val="28"/>
          <w:szCs w:val="28"/>
          <w:lang w:eastAsia="es-ES"/>
        </w:rPr>
        <w:t>s</w:t>
      </w:r>
      <w:r w:rsidR="00D01405" w:rsidRPr="004801AD">
        <w:rPr>
          <w:rFonts w:ascii="Garamond" w:hAnsi="Garamond"/>
          <w:sz w:val="28"/>
          <w:szCs w:val="28"/>
          <w:lang w:eastAsia="es-ES"/>
        </w:rPr>
        <w:t xml:space="preserve">, transformándose </w:t>
      </w:r>
      <w:r w:rsidR="00F45D0D" w:rsidRPr="004801AD">
        <w:rPr>
          <w:rFonts w:ascii="Garamond" w:hAnsi="Garamond"/>
          <w:sz w:val="28"/>
          <w:szCs w:val="28"/>
          <w:lang w:eastAsia="es-ES"/>
        </w:rPr>
        <w:t xml:space="preserve">en una de las revista </w:t>
      </w:r>
      <w:r w:rsidR="00F45D0D" w:rsidRPr="0092046F">
        <w:rPr>
          <w:rFonts w:ascii="Garamond" w:hAnsi="Garamond"/>
          <w:i/>
          <w:sz w:val="28"/>
          <w:szCs w:val="28"/>
          <w:lang w:eastAsia="es-ES"/>
        </w:rPr>
        <w:t>on line</w:t>
      </w:r>
      <w:r w:rsidR="00F45D0D" w:rsidRPr="004801AD">
        <w:rPr>
          <w:rFonts w:ascii="Garamond" w:hAnsi="Garamond"/>
          <w:sz w:val="28"/>
          <w:szCs w:val="28"/>
          <w:lang w:eastAsia="es-ES"/>
        </w:rPr>
        <w:t xml:space="preserve"> </w:t>
      </w:r>
      <w:r w:rsidR="009B1C97" w:rsidRPr="004801AD">
        <w:rPr>
          <w:rFonts w:ascii="Garamond" w:hAnsi="Garamond"/>
          <w:sz w:val="28"/>
          <w:szCs w:val="28"/>
          <w:lang w:eastAsia="es-ES"/>
        </w:rPr>
        <w:t>más</w:t>
      </w:r>
      <w:r w:rsidR="00F45D0D" w:rsidRPr="004801AD">
        <w:rPr>
          <w:rFonts w:ascii="Garamond" w:hAnsi="Garamond"/>
          <w:sz w:val="28"/>
          <w:szCs w:val="28"/>
          <w:lang w:eastAsia="es-ES"/>
        </w:rPr>
        <w:t xml:space="preserve"> importante de </w:t>
      </w:r>
      <w:r w:rsidR="009B1C97" w:rsidRPr="004801AD">
        <w:rPr>
          <w:rFonts w:ascii="Garamond" w:hAnsi="Garamond"/>
          <w:sz w:val="28"/>
          <w:szCs w:val="28"/>
          <w:lang w:eastAsia="es-ES"/>
        </w:rPr>
        <w:t>América</w:t>
      </w:r>
      <w:r w:rsidR="00F45D0D" w:rsidRPr="004801AD">
        <w:rPr>
          <w:rFonts w:ascii="Garamond" w:hAnsi="Garamond"/>
          <w:sz w:val="28"/>
          <w:szCs w:val="28"/>
          <w:lang w:eastAsia="es-ES"/>
        </w:rPr>
        <w:t xml:space="preserve">. </w:t>
      </w:r>
    </w:p>
    <w:p w14:paraId="3C50131E" w14:textId="5ECF98B4" w:rsidR="00D01405" w:rsidRPr="004801AD" w:rsidRDefault="00350B71" w:rsidP="00D01405">
      <w:pPr>
        <w:widowControl w:val="0"/>
        <w:autoSpaceDE w:val="0"/>
        <w:autoSpaceDN w:val="0"/>
        <w:adjustRightInd w:val="0"/>
        <w:spacing w:after="120" w:line="360" w:lineRule="auto"/>
        <w:ind w:firstLine="708"/>
        <w:jc w:val="both"/>
        <w:rPr>
          <w:rFonts w:ascii="Garamond" w:hAnsi="Garamond"/>
          <w:sz w:val="28"/>
          <w:szCs w:val="28"/>
          <w:lang w:eastAsia="es-ES"/>
        </w:rPr>
      </w:pPr>
      <w:r w:rsidRPr="004801AD">
        <w:rPr>
          <w:rFonts w:ascii="Garamond" w:hAnsi="Garamond"/>
          <w:sz w:val="28"/>
          <w:szCs w:val="28"/>
          <w:lang w:eastAsia="es-ES"/>
        </w:rPr>
        <w:t xml:space="preserve">Si bien la materia </w:t>
      </w:r>
      <w:r w:rsidR="00747141" w:rsidRPr="004801AD">
        <w:rPr>
          <w:rFonts w:ascii="Garamond" w:hAnsi="Garamond"/>
          <w:sz w:val="28"/>
          <w:szCs w:val="28"/>
          <w:lang w:eastAsia="es-ES"/>
        </w:rPr>
        <w:t>Civil y Comercial no ha tenido ni una unidad académica</w:t>
      </w:r>
      <w:r w:rsidR="00D01405" w:rsidRPr="004801AD">
        <w:rPr>
          <w:rFonts w:ascii="Garamond" w:hAnsi="Garamond"/>
          <w:sz w:val="28"/>
          <w:szCs w:val="28"/>
          <w:lang w:eastAsia="es-ES"/>
        </w:rPr>
        <w:t>,</w:t>
      </w:r>
      <w:r w:rsidR="00747141" w:rsidRPr="004801AD">
        <w:rPr>
          <w:rFonts w:ascii="Garamond" w:hAnsi="Garamond"/>
          <w:sz w:val="28"/>
          <w:szCs w:val="28"/>
          <w:lang w:eastAsia="es-ES"/>
        </w:rPr>
        <w:t xml:space="preserve"> ni u</w:t>
      </w:r>
      <w:r w:rsidR="009B1C97" w:rsidRPr="004801AD">
        <w:rPr>
          <w:rFonts w:ascii="Garamond" w:hAnsi="Garamond"/>
          <w:sz w:val="28"/>
          <w:szCs w:val="28"/>
          <w:lang w:eastAsia="es-ES"/>
        </w:rPr>
        <w:t>n</w:t>
      </w:r>
      <w:r w:rsidR="00747141" w:rsidRPr="004801AD">
        <w:rPr>
          <w:rFonts w:ascii="Garamond" w:hAnsi="Garamond"/>
          <w:sz w:val="28"/>
          <w:szCs w:val="28"/>
          <w:lang w:eastAsia="es-ES"/>
        </w:rPr>
        <w:t>a unidad jurídica</w:t>
      </w:r>
      <w:r w:rsidR="00D01405" w:rsidRPr="004801AD">
        <w:rPr>
          <w:rFonts w:ascii="Garamond" w:hAnsi="Garamond"/>
          <w:sz w:val="28"/>
          <w:szCs w:val="28"/>
          <w:lang w:eastAsia="es-ES"/>
        </w:rPr>
        <w:t xml:space="preserve">, dado que </w:t>
      </w:r>
      <w:r w:rsidR="00747141" w:rsidRPr="004801AD">
        <w:rPr>
          <w:rFonts w:ascii="Garamond" w:hAnsi="Garamond"/>
          <w:sz w:val="28"/>
          <w:szCs w:val="28"/>
          <w:lang w:eastAsia="es-ES"/>
        </w:rPr>
        <w:t>aglutina varias materia</w:t>
      </w:r>
      <w:r w:rsidR="0092046F">
        <w:rPr>
          <w:rFonts w:ascii="Garamond" w:hAnsi="Garamond"/>
          <w:sz w:val="28"/>
          <w:szCs w:val="28"/>
          <w:lang w:eastAsia="es-ES"/>
        </w:rPr>
        <w:t>s</w:t>
      </w:r>
      <w:r w:rsidR="00D01405" w:rsidRPr="004801AD">
        <w:rPr>
          <w:rFonts w:ascii="Garamond" w:hAnsi="Garamond"/>
          <w:sz w:val="28"/>
          <w:szCs w:val="28"/>
          <w:lang w:eastAsia="es-ES"/>
        </w:rPr>
        <w:t xml:space="preserve"> </w:t>
      </w:r>
      <w:r w:rsidR="00747141" w:rsidRPr="004801AD">
        <w:rPr>
          <w:rFonts w:ascii="Garamond" w:hAnsi="Garamond"/>
          <w:sz w:val="28"/>
          <w:szCs w:val="28"/>
          <w:lang w:eastAsia="es-ES"/>
        </w:rPr>
        <w:t xml:space="preserve">(derecho </w:t>
      </w:r>
      <w:r w:rsidR="00747141" w:rsidRPr="004801AD">
        <w:rPr>
          <w:rFonts w:ascii="Garamond" w:hAnsi="Garamond"/>
          <w:sz w:val="28"/>
          <w:szCs w:val="28"/>
          <w:lang w:eastAsia="es-ES"/>
        </w:rPr>
        <w:lastRenderedPageBreak/>
        <w:t xml:space="preserve">civil, comercial, aeronáutico, marítimo, patentes y marcas, </w:t>
      </w:r>
      <w:r w:rsidR="00A65919" w:rsidRPr="004801AD">
        <w:rPr>
          <w:rFonts w:ascii="Garamond" w:hAnsi="Garamond"/>
          <w:sz w:val="28"/>
          <w:szCs w:val="28"/>
          <w:lang w:eastAsia="es-ES"/>
        </w:rPr>
        <w:t xml:space="preserve">usuario y consumidos, ambiental, </w:t>
      </w:r>
      <w:r w:rsidR="00095472" w:rsidRPr="004801AD">
        <w:rPr>
          <w:rFonts w:ascii="Garamond" w:hAnsi="Garamond"/>
          <w:sz w:val="28"/>
          <w:szCs w:val="28"/>
          <w:lang w:eastAsia="es-ES"/>
        </w:rPr>
        <w:t>radio-</w:t>
      </w:r>
      <w:r w:rsidR="009B1C97" w:rsidRPr="004801AD">
        <w:rPr>
          <w:rFonts w:ascii="Garamond" w:hAnsi="Garamond"/>
          <w:sz w:val="28"/>
          <w:szCs w:val="28"/>
          <w:lang w:eastAsia="es-ES"/>
        </w:rPr>
        <w:t>difusión</w:t>
      </w:r>
      <w:r w:rsidR="00095472" w:rsidRPr="004801AD">
        <w:rPr>
          <w:rFonts w:ascii="Garamond" w:hAnsi="Garamond"/>
          <w:sz w:val="28"/>
          <w:szCs w:val="28"/>
          <w:lang w:eastAsia="es-ES"/>
        </w:rPr>
        <w:t xml:space="preserve">, internet, ciudadanía, y salud), </w:t>
      </w:r>
      <w:r w:rsidR="0092046F">
        <w:rPr>
          <w:rFonts w:ascii="Garamond" w:hAnsi="Garamond"/>
          <w:sz w:val="28"/>
          <w:szCs w:val="28"/>
          <w:lang w:eastAsia="es-ES"/>
        </w:rPr>
        <w:t xml:space="preserve">aunque </w:t>
      </w:r>
      <w:r w:rsidR="00D01405" w:rsidRPr="004801AD">
        <w:rPr>
          <w:rFonts w:ascii="Garamond" w:hAnsi="Garamond"/>
          <w:sz w:val="28"/>
          <w:szCs w:val="28"/>
          <w:lang w:eastAsia="es-ES"/>
        </w:rPr>
        <w:t xml:space="preserve">al estar </w:t>
      </w:r>
      <w:r w:rsidR="00095472" w:rsidRPr="004801AD">
        <w:rPr>
          <w:rFonts w:ascii="Garamond" w:hAnsi="Garamond"/>
          <w:sz w:val="28"/>
          <w:szCs w:val="28"/>
          <w:lang w:eastAsia="es-ES"/>
        </w:rPr>
        <w:t>involucra</w:t>
      </w:r>
      <w:r w:rsidR="00D01405" w:rsidRPr="004801AD">
        <w:rPr>
          <w:rFonts w:ascii="Garamond" w:hAnsi="Garamond"/>
          <w:sz w:val="28"/>
          <w:szCs w:val="28"/>
          <w:lang w:eastAsia="es-ES"/>
        </w:rPr>
        <w:t xml:space="preserve"> la cuestión federal, aquí si tenemos un punto de unión con un pensamiento y desarrollo univoco desarrollado sobre la base del derecho federal. </w:t>
      </w:r>
    </w:p>
    <w:p w14:paraId="28BA6A28" w14:textId="1B7FA44A" w:rsidR="00747141" w:rsidRPr="004801AD" w:rsidRDefault="00D01405" w:rsidP="00D01405">
      <w:pPr>
        <w:widowControl w:val="0"/>
        <w:autoSpaceDE w:val="0"/>
        <w:autoSpaceDN w:val="0"/>
        <w:adjustRightInd w:val="0"/>
        <w:spacing w:after="120" w:line="360" w:lineRule="auto"/>
        <w:ind w:firstLine="708"/>
        <w:jc w:val="both"/>
        <w:rPr>
          <w:rFonts w:ascii="Garamond" w:hAnsi="Garamond"/>
          <w:sz w:val="28"/>
          <w:szCs w:val="28"/>
          <w:lang w:eastAsia="es-ES"/>
        </w:rPr>
      </w:pPr>
      <w:r w:rsidRPr="004801AD">
        <w:rPr>
          <w:rFonts w:ascii="Garamond" w:hAnsi="Garamond"/>
          <w:sz w:val="28"/>
          <w:szCs w:val="28"/>
          <w:lang w:eastAsia="es-ES"/>
        </w:rPr>
        <w:t xml:space="preserve">Y justamente </w:t>
      </w:r>
      <w:r w:rsidR="00095472" w:rsidRPr="004801AD">
        <w:rPr>
          <w:rFonts w:ascii="Garamond" w:hAnsi="Garamond"/>
          <w:sz w:val="28"/>
          <w:szCs w:val="28"/>
          <w:lang w:eastAsia="es-ES"/>
        </w:rPr>
        <w:t>el competente para todo ello es el fuero civil y comercial</w:t>
      </w:r>
      <w:r w:rsidR="00F21AA3">
        <w:rPr>
          <w:rFonts w:ascii="Garamond" w:hAnsi="Garamond"/>
          <w:sz w:val="28"/>
          <w:szCs w:val="28"/>
          <w:lang w:eastAsia="es-ES"/>
        </w:rPr>
        <w:t xml:space="preserve"> federal</w:t>
      </w:r>
      <w:r w:rsidR="00095472" w:rsidRPr="004801AD">
        <w:rPr>
          <w:rFonts w:ascii="Garamond" w:hAnsi="Garamond"/>
          <w:sz w:val="28"/>
          <w:szCs w:val="28"/>
          <w:lang w:eastAsia="es-ES"/>
        </w:rPr>
        <w:t xml:space="preserve">, y de acuerdo a cuestiones </w:t>
      </w:r>
      <w:r w:rsidR="009B1C97" w:rsidRPr="004801AD">
        <w:rPr>
          <w:rFonts w:ascii="Garamond" w:hAnsi="Garamond"/>
          <w:sz w:val="28"/>
          <w:szCs w:val="28"/>
          <w:lang w:eastAsia="es-ES"/>
        </w:rPr>
        <w:t>territoriales</w:t>
      </w:r>
      <w:r w:rsidR="00095472" w:rsidRPr="004801AD">
        <w:rPr>
          <w:rFonts w:ascii="Garamond" w:hAnsi="Garamond"/>
          <w:sz w:val="28"/>
          <w:szCs w:val="28"/>
          <w:lang w:eastAsia="es-ES"/>
        </w:rPr>
        <w:t xml:space="preserve"> este puede estar situado en la ciudad de Buenos Aires, o en el resto de </w:t>
      </w:r>
      <w:r w:rsidRPr="004801AD">
        <w:rPr>
          <w:rFonts w:ascii="Garamond" w:hAnsi="Garamond"/>
          <w:sz w:val="28"/>
          <w:szCs w:val="28"/>
          <w:lang w:eastAsia="es-ES"/>
        </w:rPr>
        <w:t>las provincias de nuestro país.</w:t>
      </w:r>
    </w:p>
    <w:p w14:paraId="3B0D76AC" w14:textId="6BB137B5" w:rsidR="00B87270" w:rsidRPr="004801AD" w:rsidRDefault="00095472" w:rsidP="00D01405">
      <w:pPr>
        <w:widowControl w:val="0"/>
        <w:autoSpaceDE w:val="0"/>
        <w:autoSpaceDN w:val="0"/>
        <w:adjustRightInd w:val="0"/>
        <w:spacing w:after="120" w:line="360" w:lineRule="auto"/>
        <w:ind w:firstLine="360"/>
        <w:jc w:val="both"/>
        <w:rPr>
          <w:rFonts w:ascii="Garamond" w:hAnsi="Garamond"/>
          <w:sz w:val="28"/>
          <w:szCs w:val="28"/>
          <w:lang w:eastAsia="es-ES"/>
        </w:rPr>
      </w:pPr>
      <w:r w:rsidRPr="004801AD">
        <w:rPr>
          <w:rFonts w:ascii="Garamond" w:hAnsi="Garamond"/>
          <w:sz w:val="28"/>
          <w:szCs w:val="28"/>
          <w:lang w:eastAsia="es-ES"/>
        </w:rPr>
        <w:t xml:space="preserve">Y como vemos resulta de mucho intereses desarrollar la materia civil y comercial federal, con toda su amplitud, en un </w:t>
      </w:r>
      <w:r w:rsidR="009B1C97" w:rsidRPr="004801AD">
        <w:rPr>
          <w:rFonts w:ascii="Garamond" w:hAnsi="Garamond"/>
          <w:sz w:val="28"/>
          <w:szCs w:val="28"/>
          <w:lang w:eastAsia="es-ES"/>
        </w:rPr>
        <w:t>suplemento</w:t>
      </w:r>
      <w:r w:rsidRPr="004801AD">
        <w:rPr>
          <w:rFonts w:ascii="Garamond" w:hAnsi="Garamond"/>
          <w:sz w:val="28"/>
          <w:szCs w:val="28"/>
          <w:lang w:eastAsia="es-ES"/>
        </w:rPr>
        <w:t xml:space="preserve"> que encuentre todo </w:t>
      </w:r>
      <w:r w:rsidR="00350B71" w:rsidRPr="004801AD">
        <w:rPr>
          <w:rFonts w:ascii="Garamond" w:hAnsi="Garamond"/>
          <w:sz w:val="28"/>
          <w:szCs w:val="28"/>
          <w:lang w:eastAsia="es-ES"/>
        </w:rPr>
        <w:t xml:space="preserve">información </w:t>
      </w:r>
      <w:r w:rsidR="00F21AA3">
        <w:rPr>
          <w:rFonts w:ascii="Garamond" w:hAnsi="Garamond"/>
          <w:sz w:val="28"/>
          <w:szCs w:val="28"/>
          <w:lang w:eastAsia="es-ES"/>
        </w:rPr>
        <w:t xml:space="preserve">en forma ordenada y, sistematizada, que el lector pueda leerlo en forma </w:t>
      </w:r>
      <w:r w:rsidR="00350B71" w:rsidRPr="004801AD">
        <w:rPr>
          <w:rFonts w:ascii="Garamond" w:hAnsi="Garamond"/>
          <w:sz w:val="28"/>
          <w:szCs w:val="28"/>
          <w:lang w:eastAsia="es-ES"/>
        </w:rPr>
        <w:t>ágil</w:t>
      </w:r>
      <w:r w:rsidR="00F21AA3">
        <w:rPr>
          <w:rFonts w:ascii="Garamond" w:hAnsi="Garamond"/>
          <w:sz w:val="28"/>
          <w:szCs w:val="28"/>
          <w:lang w:eastAsia="es-ES"/>
        </w:rPr>
        <w:t xml:space="preserve"> y </w:t>
      </w:r>
      <w:r w:rsidR="00FE649B">
        <w:rPr>
          <w:rFonts w:ascii="Garamond" w:hAnsi="Garamond"/>
          <w:sz w:val="28"/>
          <w:szCs w:val="28"/>
          <w:lang w:eastAsia="es-ES"/>
        </w:rPr>
        <w:t>dinámica</w:t>
      </w:r>
      <w:r w:rsidR="00F21AA3">
        <w:rPr>
          <w:rFonts w:ascii="Garamond" w:hAnsi="Garamond"/>
          <w:sz w:val="28"/>
          <w:szCs w:val="28"/>
          <w:lang w:eastAsia="es-ES"/>
        </w:rPr>
        <w:t xml:space="preserve">, todos </w:t>
      </w:r>
      <w:r w:rsidR="00350B71" w:rsidRPr="004801AD">
        <w:rPr>
          <w:rFonts w:ascii="Garamond" w:hAnsi="Garamond"/>
          <w:sz w:val="28"/>
          <w:szCs w:val="28"/>
          <w:lang w:eastAsia="es-ES"/>
        </w:rPr>
        <w:t xml:space="preserve">los hechos más relevantes de la jurisprudencia, doctrina y normativa del </w:t>
      </w:r>
      <w:r w:rsidR="00F21AA3">
        <w:rPr>
          <w:rFonts w:ascii="Garamond" w:hAnsi="Garamond"/>
          <w:sz w:val="28"/>
          <w:szCs w:val="28"/>
          <w:lang w:eastAsia="es-ES"/>
        </w:rPr>
        <w:t xml:space="preserve">mentado </w:t>
      </w:r>
      <w:r w:rsidR="00350B71" w:rsidRPr="004801AD">
        <w:rPr>
          <w:rFonts w:ascii="Garamond" w:hAnsi="Garamond"/>
          <w:sz w:val="28"/>
          <w:szCs w:val="28"/>
          <w:lang w:eastAsia="es-ES"/>
        </w:rPr>
        <w:t>fuero.</w:t>
      </w:r>
    </w:p>
    <w:p w14:paraId="0E8E6A3F" w14:textId="4114F0E0" w:rsidR="00B87270" w:rsidRPr="004801AD" w:rsidRDefault="00B87270" w:rsidP="00E44C90">
      <w:pPr>
        <w:widowControl w:val="0"/>
        <w:autoSpaceDE w:val="0"/>
        <w:autoSpaceDN w:val="0"/>
        <w:adjustRightInd w:val="0"/>
        <w:spacing w:after="120" w:line="360" w:lineRule="auto"/>
        <w:jc w:val="both"/>
        <w:rPr>
          <w:rFonts w:ascii="Garamond" w:hAnsi="Garamond"/>
          <w:sz w:val="28"/>
          <w:szCs w:val="28"/>
          <w:lang w:eastAsia="es-ES"/>
        </w:rPr>
      </w:pPr>
    </w:p>
    <w:p w14:paraId="5B69887B" w14:textId="76F2B292" w:rsidR="00146C7C" w:rsidRPr="004801AD" w:rsidRDefault="00C346ED" w:rsidP="00E44C90">
      <w:pPr>
        <w:pStyle w:val="Ttulo1"/>
        <w:numPr>
          <w:ilvl w:val="0"/>
          <w:numId w:val="2"/>
        </w:numPr>
        <w:spacing w:line="360" w:lineRule="auto"/>
        <w:jc w:val="both"/>
        <w:rPr>
          <w:szCs w:val="28"/>
          <w:lang w:eastAsia="es-ES"/>
        </w:rPr>
      </w:pPr>
      <w:bookmarkStart w:id="2" w:name="_Toc18145332"/>
      <w:bookmarkStart w:id="3" w:name="_Toc19113548"/>
      <w:r w:rsidRPr="004801AD">
        <w:rPr>
          <w:szCs w:val="28"/>
          <w:lang w:eastAsia="es-ES"/>
        </w:rPr>
        <w:t>Análisis</w:t>
      </w:r>
      <w:r w:rsidR="00D01405" w:rsidRPr="004801AD">
        <w:rPr>
          <w:szCs w:val="28"/>
          <w:lang w:eastAsia="es-ES"/>
        </w:rPr>
        <w:t xml:space="preserve"> </w:t>
      </w:r>
      <w:bookmarkEnd w:id="2"/>
      <w:r w:rsidRPr="004801AD">
        <w:rPr>
          <w:szCs w:val="28"/>
          <w:lang w:eastAsia="es-ES"/>
        </w:rPr>
        <w:t>Histórico</w:t>
      </w:r>
      <w:bookmarkEnd w:id="3"/>
      <w:r w:rsidR="00D01405" w:rsidRPr="004801AD">
        <w:rPr>
          <w:szCs w:val="28"/>
          <w:lang w:eastAsia="es-ES"/>
        </w:rPr>
        <w:t xml:space="preserve">  </w:t>
      </w:r>
    </w:p>
    <w:p w14:paraId="0FF3866D" w14:textId="77777777" w:rsidR="00146C7C" w:rsidRPr="004801AD" w:rsidRDefault="00146C7C" w:rsidP="00E44C90">
      <w:pPr>
        <w:pStyle w:val="Prrafodelista"/>
        <w:widowControl w:val="0"/>
        <w:autoSpaceDE w:val="0"/>
        <w:autoSpaceDN w:val="0"/>
        <w:adjustRightInd w:val="0"/>
        <w:spacing w:after="120" w:line="360" w:lineRule="auto"/>
        <w:ind w:left="1080"/>
        <w:jc w:val="both"/>
        <w:rPr>
          <w:rFonts w:ascii="Garamond" w:hAnsi="Garamond"/>
          <w:sz w:val="28"/>
          <w:szCs w:val="28"/>
          <w:lang w:eastAsia="es-ES"/>
        </w:rPr>
      </w:pPr>
    </w:p>
    <w:p w14:paraId="5FD2FF4A" w14:textId="300CCE52" w:rsidR="00DB6670" w:rsidRPr="004801AD" w:rsidRDefault="00DB6670" w:rsidP="00E44C90">
      <w:pPr>
        <w:spacing w:line="360" w:lineRule="auto"/>
        <w:ind w:firstLine="360"/>
        <w:jc w:val="both"/>
        <w:rPr>
          <w:rFonts w:ascii="Garamond" w:hAnsi="Garamond"/>
          <w:sz w:val="28"/>
          <w:szCs w:val="28"/>
        </w:rPr>
      </w:pPr>
      <w:r w:rsidRPr="004801AD">
        <w:rPr>
          <w:rFonts w:ascii="Garamond" w:hAnsi="Garamond"/>
          <w:sz w:val="28"/>
          <w:szCs w:val="28"/>
        </w:rPr>
        <w:t>La primera ley de Organización de la Ju</w:t>
      </w:r>
      <w:r w:rsidR="00F21AA3">
        <w:rPr>
          <w:rFonts w:ascii="Garamond" w:hAnsi="Garamond"/>
          <w:sz w:val="28"/>
          <w:szCs w:val="28"/>
        </w:rPr>
        <w:t>sticia Nacional, fue la ley 27</w:t>
      </w:r>
      <w:r w:rsidR="00F21AA3" w:rsidRPr="00F21AA3">
        <w:rPr>
          <w:rStyle w:val="Refdenotaalpie"/>
          <w:sz w:val="20"/>
          <w:szCs w:val="20"/>
        </w:rPr>
        <w:footnoteReference w:id="1"/>
      </w:r>
      <w:r w:rsidRPr="00F21AA3">
        <w:rPr>
          <w:rFonts w:ascii="Garamond" w:hAnsi="Garamond"/>
          <w:sz w:val="20"/>
          <w:szCs w:val="20"/>
        </w:rPr>
        <w:t>,</w:t>
      </w:r>
      <w:r w:rsidRPr="004801AD">
        <w:rPr>
          <w:rFonts w:ascii="Garamond" w:hAnsi="Garamond"/>
          <w:sz w:val="28"/>
          <w:szCs w:val="28"/>
        </w:rPr>
        <w:t xml:space="preserve"> allí se estableció que la Justicia Nacional se ejercerá por medio de una Corte Suprema de Justicia compuesta de cinco miembros y un Procurador General, y también por Juzgados Inferiores </w:t>
      </w:r>
      <w:r w:rsidR="009E49AD" w:rsidRPr="004801AD">
        <w:rPr>
          <w:rFonts w:ascii="Garamond" w:hAnsi="Garamond"/>
          <w:sz w:val="28"/>
          <w:szCs w:val="28"/>
        </w:rPr>
        <w:t>denominados “</w:t>
      </w:r>
      <w:r w:rsidRPr="004801AD">
        <w:rPr>
          <w:rFonts w:ascii="Garamond" w:hAnsi="Garamond"/>
          <w:sz w:val="28"/>
          <w:szCs w:val="28"/>
        </w:rPr>
        <w:t>de Sección</w:t>
      </w:r>
      <w:r w:rsidR="009E49AD" w:rsidRPr="004801AD">
        <w:rPr>
          <w:rFonts w:ascii="Garamond" w:hAnsi="Garamond"/>
          <w:sz w:val="28"/>
          <w:szCs w:val="28"/>
        </w:rPr>
        <w:t>”</w:t>
      </w:r>
      <w:r w:rsidRPr="004801AD">
        <w:rPr>
          <w:rFonts w:ascii="Garamond" w:hAnsi="Garamond"/>
          <w:sz w:val="28"/>
          <w:szCs w:val="28"/>
        </w:rPr>
        <w:t>.</w:t>
      </w:r>
    </w:p>
    <w:p w14:paraId="20BC2A23" w14:textId="02802F80" w:rsidR="00D24D86" w:rsidRPr="004801AD" w:rsidRDefault="009E49AD" w:rsidP="00E44C90">
      <w:pPr>
        <w:spacing w:line="360" w:lineRule="auto"/>
        <w:ind w:firstLine="360"/>
        <w:jc w:val="both"/>
        <w:rPr>
          <w:rFonts w:ascii="Garamond" w:hAnsi="Garamond"/>
          <w:sz w:val="28"/>
          <w:szCs w:val="28"/>
        </w:rPr>
      </w:pPr>
      <w:r w:rsidRPr="004801AD">
        <w:rPr>
          <w:rFonts w:ascii="Garamond" w:hAnsi="Garamond"/>
          <w:sz w:val="28"/>
          <w:szCs w:val="28"/>
        </w:rPr>
        <w:t xml:space="preserve">Luego </w:t>
      </w:r>
      <w:r w:rsidR="00F21AA3">
        <w:rPr>
          <w:rFonts w:ascii="Garamond" w:hAnsi="Garamond"/>
          <w:sz w:val="28"/>
          <w:szCs w:val="28"/>
        </w:rPr>
        <w:t>la ley N° 48</w:t>
      </w:r>
      <w:r w:rsidR="00F21AA3" w:rsidRPr="00F21AA3">
        <w:rPr>
          <w:rStyle w:val="Refdenotaalpie"/>
          <w:sz w:val="20"/>
          <w:szCs w:val="20"/>
        </w:rPr>
        <w:footnoteReference w:id="2"/>
      </w:r>
      <w:r w:rsidR="00D24D86" w:rsidRPr="004801AD">
        <w:rPr>
          <w:rFonts w:ascii="Garamond" w:hAnsi="Garamond"/>
          <w:sz w:val="28"/>
          <w:szCs w:val="28"/>
        </w:rPr>
        <w:t xml:space="preserve"> establece el contenido de la competencia de la Corte Suprema de Justicia de la Nación en Primera Instancia y determina la competencia </w:t>
      </w:r>
      <w:r w:rsidRPr="004801AD">
        <w:rPr>
          <w:rFonts w:ascii="Garamond" w:hAnsi="Garamond"/>
          <w:sz w:val="28"/>
          <w:szCs w:val="28"/>
        </w:rPr>
        <w:t xml:space="preserve">también </w:t>
      </w:r>
      <w:r w:rsidR="00D24D86" w:rsidRPr="004801AD">
        <w:rPr>
          <w:rFonts w:ascii="Garamond" w:hAnsi="Garamond"/>
          <w:sz w:val="28"/>
          <w:szCs w:val="28"/>
        </w:rPr>
        <w:t>de los demás tribunales federales</w:t>
      </w:r>
      <w:r w:rsidR="006B755A" w:rsidRPr="004801AD">
        <w:rPr>
          <w:rFonts w:ascii="Garamond" w:hAnsi="Garamond"/>
          <w:sz w:val="28"/>
          <w:szCs w:val="28"/>
        </w:rPr>
        <w:t xml:space="preserve">. Entre las vías que regula dicha ley se encuentra </w:t>
      </w:r>
      <w:r w:rsidR="00D24D86" w:rsidRPr="004801AD">
        <w:rPr>
          <w:rFonts w:ascii="Garamond" w:hAnsi="Garamond"/>
          <w:sz w:val="28"/>
          <w:szCs w:val="28"/>
        </w:rPr>
        <w:t>el recurso extraordinario ante la CSJN</w:t>
      </w:r>
      <w:r w:rsidR="006B755A" w:rsidRPr="004801AD">
        <w:rPr>
          <w:rFonts w:ascii="Garamond" w:hAnsi="Garamond"/>
          <w:sz w:val="28"/>
          <w:szCs w:val="28"/>
        </w:rPr>
        <w:t xml:space="preserve">, vigente hasta nuestros </w:t>
      </w:r>
      <w:r w:rsidR="00C346ED" w:rsidRPr="004801AD">
        <w:rPr>
          <w:rFonts w:ascii="Garamond" w:hAnsi="Garamond"/>
          <w:sz w:val="28"/>
          <w:szCs w:val="28"/>
        </w:rPr>
        <w:t xml:space="preserve">días. </w:t>
      </w:r>
    </w:p>
    <w:p w14:paraId="6E7EBC8D" w14:textId="3E8F6814" w:rsidR="00A4437D" w:rsidRPr="004801AD" w:rsidRDefault="00566F70" w:rsidP="00E44C90">
      <w:pPr>
        <w:spacing w:line="360" w:lineRule="auto"/>
        <w:ind w:firstLine="360"/>
        <w:jc w:val="both"/>
        <w:rPr>
          <w:rFonts w:ascii="Garamond" w:hAnsi="Garamond"/>
          <w:sz w:val="28"/>
          <w:szCs w:val="28"/>
        </w:rPr>
      </w:pPr>
      <w:r w:rsidRPr="004801AD">
        <w:rPr>
          <w:rFonts w:ascii="Garamond" w:hAnsi="Garamond"/>
          <w:sz w:val="28"/>
          <w:szCs w:val="28"/>
        </w:rPr>
        <w:lastRenderedPageBreak/>
        <w:t>Por medio de l</w:t>
      </w:r>
      <w:r w:rsidR="006B755A" w:rsidRPr="004801AD">
        <w:rPr>
          <w:rFonts w:ascii="Garamond" w:hAnsi="Garamond"/>
          <w:sz w:val="28"/>
          <w:szCs w:val="28"/>
        </w:rPr>
        <w:t>a l</w:t>
      </w:r>
      <w:r w:rsidR="00F21AA3">
        <w:rPr>
          <w:rFonts w:ascii="Garamond" w:hAnsi="Garamond"/>
          <w:sz w:val="28"/>
          <w:szCs w:val="28"/>
        </w:rPr>
        <w:t>ey N° 220</w:t>
      </w:r>
      <w:r w:rsidR="00F21AA3" w:rsidRPr="00F21AA3">
        <w:rPr>
          <w:rStyle w:val="Refdenotaalpie"/>
          <w:sz w:val="20"/>
          <w:szCs w:val="20"/>
        </w:rPr>
        <w:footnoteReference w:id="3"/>
      </w:r>
      <w:r w:rsidR="00F21AA3">
        <w:rPr>
          <w:rFonts w:ascii="Garamond" w:hAnsi="Garamond"/>
          <w:sz w:val="28"/>
          <w:szCs w:val="28"/>
        </w:rPr>
        <w:t xml:space="preserve"> se crearon </w:t>
      </w:r>
      <w:r w:rsidR="00A4437D" w:rsidRPr="004801AD">
        <w:rPr>
          <w:rFonts w:ascii="Garamond" w:hAnsi="Garamond"/>
          <w:sz w:val="28"/>
          <w:szCs w:val="28"/>
        </w:rPr>
        <w:t>dos Juzgados en la Provincia de Buenos Aires, uno en lo Criminal y otro en lo mercantil</w:t>
      </w:r>
      <w:r w:rsidR="006B755A" w:rsidRPr="004801AD">
        <w:rPr>
          <w:rFonts w:ascii="Garamond" w:hAnsi="Garamond"/>
          <w:sz w:val="28"/>
          <w:szCs w:val="28"/>
        </w:rPr>
        <w:t xml:space="preserve"> y l</w:t>
      </w:r>
      <w:r w:rsidR="00A4437D" w:rsidRPr="004801AD">
        <w:rPr>
          <w:rFonts w:ascii="Garamond" w:hAnsi="Garamond"/>
          <w:sz w:val="28"/>
          <w:szCs w:val="28"/>
        </w:rPr>
        <w:t>a competencia civil la ejercerán los dos Juzgados</w:t>
      </w:r>
      <w:r w:rsidR="003A0F0E" w:rsidRPr="004801AD">
        <w:rPr>
          <w:rFonts w:ascii="Garamond" w:hAnsi="Garamond"/>
          <w:sz w:val="28"/>
          <w:szCs w:val="28"/>
        </w:rPr>
        <w:t xml:space="preserve">. </w:t>
      </w:r>
      <w:r w:rsidRPr="004801AD">
        <w:rPr>
          <w:rFonts w:ascii="Garamond" w:hAnsi="Garamond"/>
          <w:sz w:val="28"/>
          <w:szCs w:val="28"/>
        </w:rPr>
        <w:t>Mientas que la l</w:t>
      </w:r>
      <w:r w:rsidR="00F21AA3">
        <w:rPr>
          <w:rFonts w:ascii="Garamond" w:hAnsi="Garamond"/>
          <w:sz w:val="28"/>
          <w:szCs w:val="28"/>
        </w:rPr>
        <w:t>ey N° 2.942</w:t>
      </w:r>
      <w:r w:rsidR="00F21AA3" w:rsidRPr="00F21AA3">
        <w:rPr>
          <w:rStyle w:val="Refdenotaalpie"/>
          <w:sz w:val="20"/>
          <w:szCs w:val="20"/>
        </w:rPr>
        <w:footnoteReference w:id="4"/>
      </w:r>
      <w:r w:rsidR="003A0F0E" w:rsidRPr="004801AD">
        <w:rPr>
          <w:rFonts w:ascii="Garamond" w:hAnsi="Garamond"/>
          <w:sz w:val="28"/>
          <w:szCs w:val="28"/>
        </w:rPr>
        <w:t xml:space="preserve"> </w:t>
      </w:r>
      <w:r w:rsidR="00BD3B8A" w:rsidRPr="004801AD">
        <w:rPr>
          <w:rFonts w:ascii="Garamond" w:hAnsi="Garamond"/>
          <w:sz w:val="28"/>
          <w:szCs w:val="28"/>
        </w:rPr>
        <w:t xml:space="preserve">instaura </w:t>
      </w:r>
      <w:r w:rsidR="006B755A" w:rsidRPr="004801AD">
        <w:rPr>
          <w:rFonts w:ascii="Garamond" w:hAnsi="Garamond"/>
          <w:sz w:val="28"/>
          <w:szCs w:val="28"/>
        </w:rPr>
        <w:t xml:space="preserve">la </w:t>
      </w:r>
      <w:r w:rsidR="003A0F0E" w:rsidRPr="004801AD">
        <w:rPr>
          <w:rFonts w:ascii="Garamond" w:hAnsi="Garamond"/>
          <w:sz w:val="28"/>
          <w:szCs w:val="28"/>
        </w:rPr>
        <w:t>Justicia Ordinaria de la Capital Federal</w:t>
      </w:r>
      <w:r w:rsidR="006B755A" w:rsidRPr="004801AD">
        <w:rPr>
          <w:rFonts w:ascii="Garamond" w:hAnsi="Garamond"/>
          <w:sz w:val="28"/>
          <w:szCs w:val="28"/>
        </w:rPr>
        <w:t xml:space="preserve">, con </w:t>
      </w:r>
      <w:r w:rsidR="003A0F0E" w:rsidRPr="004801AD">
        <w:rPr>
          <w:rFonts w:ascii="Garamond" w:hAnsi="Garamond"/>
          <w:sz w:val="28"/>
          <w:szCs w:val="28"/>
        </w:rPr>
        <w:t>cuatro Juzgados de Instrucción Criminal y en lo Comercial</w:t>
      </w:r>
    </w:p>
    <w:p w14:paraId="0BD1DDAF" w14:textId="5D10C105" w:rsidR="003A0F0E" w:rsidRPr="004801AD" w:rsidRDefault="00566F70" w:rsidP="00E44C90">
      <w:pPr>
        <w:spacing w:line="360" w:lineRule="auto"/>
        <w:ind w:firstLine="360"/>
        <w:jc w:val="both"/>
        <w:rPr>
          <w:rFonts w:ascii="Garamond" w:hAnsi="Garamond"/>
          <w:sz w:val="28"/>
          <w:szCs w:val="28"/>
        </w:rPr>
      </w:pPr>
      <w:r w:rsidRPr="004801AD">
        <w:rPr>
          <w:rFonts w:ascii="Garamond" w:hAnsi="Garamond"/>
          <w:sz w:val="28"/>
          <w:szCs w:val="28"/>
        </w:rPr>
        <w:t>La l</w:t>
      </w:r>
      <w:r w:rsidR="003A0F0E" w:rsidRPr="004801AD">
        <w:rPr>
          <w:rFonts w:ascii="Garamond" w:hAnsi="Garamond"/>
          <w:sz w:val="28"/>
          <w:szCs w:val="28"/>
        </w:rPr>
        <w:t>ey N° 12.</w:t>
      </w:r>
      <w:r w:rsidR="00F21AA3">
        <w:rPr>
          <w:rFonts w:ascii="Garamond" w:hAnsi="Garamond"/>
          <w:sz w:val="28"/>
          <w:szCs w:val="28"/>
        </w:rPr>
        <w:t>997</w:t>
      </w:r>
      <w:r w:rsidR="00F21AA3" w:rsidRPr="00F21AA3">
        <w:rPr>
          <w:rStyle w:val="Refdenotaalpie"/>
          <w:sz w:val="20"/>
          <w:szCs w:val="20"/>
        </w:rPr>
        <w:footnoteReference w:id="5"/>
      </w:r>
      <w:r w:rsidR="003A0F0E" w:rsidRPr="00F21AA3">
        <w:rPr>
          <w:rFonts w:ascii="Garamond" w:hAnsi="Garamond"/>
          <w:sz w:val="20"/>
          <w:szCs w:val="20"/>
        </w:rPr>
        <w:t xml:space="preserve"> </w:t>
      </w:r>
      <w:r w:rsidR="006B755A" w:rsidRPr="004801AD">
        <w:rPr>
          <w:rFonts w:ascii="Garamond" w:hAnsi="Garamond"/>
          <w:sz w:val="28"/>
          <w:szCs w:val="28"/>
        </w:rPr>
        <w:t>m</w:t>
      </w:r>
      <w:r w:rsidR="003A0F0E" w:rsidRPr="004801AD">
        <w:rPr>
          <w:rFonts w:ascii="Garamond" w:hAnsi="Garamond"/>
          <w:sz w:val="28"/>
          <w:szCs w:val="28"/>
        </w:rPr>
        <w:t>odificatoria</w:t>
      </w:r>
      <w:r w:rsidR="006B755A" w:rsidRPr="004801AD">
        <w:rPr>
          <w:rFonts w:ascii="Garamond" w:hAnsi="Garamond"/>
          <w:sz w:val="28"/>
          <w:szCs w:val="28"/>
        </w:rPr>
        <w:t xml:space="preserve"> del </w:t>
      </w:r>
      <w:r w:rsidR="003A0F0E" w:rsidRPr="004801AD">
        <w:rPr>
          <w:rFonts w:ascii="Garamond" w:hAnsi="Garamond"/>
          <w:sz w:val="28"/>
          <w:szCs w:val="28"/>
        </w:rPr>
        <w:t>Poder Judicial</w:t>
      </w:r>
      <w:r w:rsidR="006B755A" w:rsidRPr="004801AD">
        <w:rPr>
          <w:rFonts w:ascii="Garamond" w:hAnsi="Garamond"/>
          <w:sz w:val="28"/>
          <w:szCs w:val="28"/>
        </w:rPr>
        <w:t xml:space="preserve">, crea el </w:t>
      </w:r>
      <w:r w:rsidR="003A0F0E" w:rsidRPr="004801AD">
        <w:rPr>
          <w:rFonts w:ascii="Garamond" w:hAnsi="Garamond"/>
          <w:sz w:val="28"/>
          <w:szCs w:val="28"/>
        </w:rPr>
        <w:t>Fuero especial en lo Civil y Comercial</w:t>
      </w:r>
      <w:r w:rsidR="006B755A" w:rsidRPr="004801AD">
        <w:rPr>
          <w:rFonts w:ascii="Garamond" w:hAnsi="Garamond"/>
          <w:sz w:val="28"/>
          <w:szCs w:val="28"/>
        </w:rPr>
        <w:t>, determinando su composición con f</w:t>
      </w:r>
      <w:r w:rsidR="003A0F0E" w:rsidRPr="004801AD">
        <w:rPr>
          <w:rFonts w:ascii="Garamond" w:hAnsi="Garamond"/>
          <w:sz w:val="28"/>
          <w:szCs w:val="28"/>
        </w:rPr>
        <w:t>uncionarios y empleados Judiciales</w:t>
      </w:r>
      <w:r w:rsidR="006B755A" w:rsidRPr="004801AD">
        <w:rPr>
          <w:rFonts w:ascii="Garamond" w:hAnsi="Garamond"/>
          <w:sz w:val="28"/>
          <w:szCs w:val="28"/>
        </w:rPr>
        <w:t xml:space="preserve">, </w:t>
      </w:r>
      <w:r w:rsidR="00F21AA3">
        <w:rPr>
          <w:rFonts w:ascii="Garamond" w:hAnsi="Garamond"/>
          <w:sz w:val="28"/>
          <w:szCs w:val="28"/>
        </w:rPr>
        <w:t xml:space="preserve">determinando </w:t>
      </w:r>
      <w:r w:rsidR="006B755A" w:rsidRPr="004801AD">
        <w:rPr>
          <w:rFonts w:ascii="Garamond" w:hAnsi="Garamond"/>
          <w:sz w:val="28"/>
          <w:szCs w:val="28"/>
        </w:rPr>
        <w:t>su r</w:t>
      </w:r>
      <w:r w:rsidR="003A0F0E" w:rsidRPr="004801AD">
        <w:rPr>
          <w:rFonts w:ascii="Garamond" w:hAnsi="Garamond"/>
          <w:sz w:val="28"/>
          <w:szCs w:val="28"/>
        </w:rPr>
        <w:t>emuneración</w:t>
      </w:r>
      <w:r w:rsidR="006B755A" w:rsidRPr="004801AD">
        <w:rPr>
          <w:rFonts w:ascii="Garamond" w:hAnsi="Garamond"/>
          <w:sz w:val="28"/>
          <w:szCs w:val="28"/>
        </w:rPr>
        <w:t xml:space="preserve"> y </w:t>
      </w:r>
      <w:r w:rsidR="00F21AA3">
        <w:rPr>
          <w:rFonts w:ascii="Garamond" w:hAnsi="Garamond"/>
          <w:sz w:val="28"/>
          <w:szCs w:val="28"/>
        </w:rPr>
        <w:t xml:space="preserve">su </w:t>
      </w:r>
      <w:r w:rsidR="006B755A" w:rsidRPr="004801AD">
        <w:rPr>
          <w:rFonts w:ascii="Garamond" w:hAnsi="Garamond"/>
          <w:sz w:val="28"/>
          <w:szCs w:val="28"/>
        </w:rPr>
        <w:t>e</w:t>
      </w:r>
      <w:r w:rsidR="003A0F0E" w:rsidRPr="004801AD">
        <w:rPr>
          <w:rFonts w:ascii="Garamond" w:hAnsi="Garamond"/>
          <w:sz w:val="28"/>
          <w:szCs w:val="28"/>
        </w:rPr>
        <w:t>quiparación.</w:t>
      </w:r>
    </w:p>
    <w:p w14:paraId="2FE50206" w14:textId="6F794FF1" w:rsidR="00747141" w:rsidRPr="004801AD" w:rsidRDefault="00350B71" w:rsidP="00E44C90">
      <w:pPr>
        <w:spacing w:line="360" w:lineRule="auto"/>
        <w:ind w:firstLine="360"/>
        <w:jc w:val="both"/>
        <w:rPr>
          <w:rFonts w:ascii="Garamond" w:hAnsi="Garamond"/>
          <w:sz w:val="28"/>
          <w:szCs w:val="28"/>
        </w:rPr>
      </w:pPr>
      <w:r w:rsidRPr="004801AD">
        <w:rPr>
          <w:rFonts w:ascii="Garamond" w:hAnsi="Garamond"/>
          <w:sz w:val="28"/>
          <w:szCs w:val="28"/>
          <w:lang w:eastAsia="es-ES"/>
        </w:rPr>
        <w:t>En un análisis historicista</w:t>
      </w:r>
      <w:r w:rsidR="006D65FC" w:rsidRPr="004801AD">
        <w:rPr>
          <w:rFonts w:ascii="Garamond" w:hAnsi="Garamond"/>
          <w:sz w:val="28"/>
          <w:szCs w:val="28"/>
          <w:lang w:eastAsia="es-ES"/>
        </w:rPr>
        <w:t xml:space="preserve">, del fuero civil y comercial federal, </w:t>
      </w:r>
      <w:r w:rsidR="00747141" w:rsidRPr="004801AD">
        <w:rPr>
          <w:rFonts w:ascii="Garamond" w:hAnsi="Garamond"/>
          <w:sz w:val="28"/>
          <w:szCs w:val="28"/>
          <w:lang w:eastAsia="es-ES"/>
        </w:rPr>
        <w:t xml:space="preserve">podemos decir, que </w:t>
      </w:r>
      <w:r w:rsidR="00095472" w:rsidRPr="004801AD">
        <w:rPr>
          <w:rFonts w:ascii="Garamond" w:hAnsi="Garamond"/>
          <w:sz w:val="28"/>
          <w:szCs w:val="28"/>
          <w:lang w:eastAsia="es-ES"/>
        </w:rPr>
        <w:t>e</w:t>
      </w:r>
      <w:r w:rsidR="00747141" w:rsidRPr="004801AD">
        <w:rPr>
          <w:rFonts w:ascii="Garamond" w:hAnsi="Garamond"/>
          <w:sz w:val="28"/>
          <w:szCs w:val="28"/>
        </w:rPr>
        <w:t xml:space="preserve">n el art. 32 </w:t>
      </w:r>
      <w:r w:rsidR="00FE649B" w:rsidRPr="004801AD">
        <w:rPr>
          <w:rFonts w:ascii="Garamond" w:hAnsi="Garamond"/>
          <w:sz w:val="28"/>
          <w:szCs w:val="28"/>
        </w:rPr>
        <w:t>inc.</w:t>
      </w:r>
      <w:r w:rsidR="00747141" w:rsidRPr="004801AD">
        <w:rPr>
          <w:rFonts w:ascii="Garamond" w:hAnsi="Garamond"/>
          <w:sz w:val="28"/>
          <w:szCs w:val="28"/>
        </w:rPr>
        <w:t xml:space="preserve"> 2.a) del decreto </w:t>
      </w:r>
      <w:r w:rsidR="00747141" w:rsidRPr="004801AD">
        <w:rPr>
          <w:rFonts w:ascii="Garamond" w:hAnsi="Garamond"/>
          <w:sz w:val="28"/>
          <w:szCs w:val="28"/>
        </w:rPr>
        <w:softHyphen/>
        <w:t xml:space="preserve"> ley 1285/58 del 4/2/</w:t>
      </w:r>
      <w:r w:rsidR="009B1C97" w:rsidRPr="004801AD">
        <w:rPr>
          <w:rFonts w:ascii="Garamond" w:hAnsi="Garamond"/>
          <w:sz w:val="28"/>
          <w:szCs w:val="28"/>
        </w:rPr>
        <w:t>1958, incluyo</w:t>
      </w:r>
      <w:r w:rsidR="00095472" w:rsidRPr="004801AD">
        <w:rPr>
          <w:rFonts w:ascii="Garamond" w:hAnsi="Garamond"/>
          <w:sz w:val="28"/>
          <w:szCs w:val="28"/>
        </w:rPr>
        <w:t xml:space="preserve"> </w:t>
      </w:r>
      <w:r w:rsidR="00747141" w:rsidRPr="004801AD">
        <w:rPr>
          <w:rFonts w:ascii="Garamond" w:hAnsi="Garamond"/>
          <w:sz w:val="28"/>
          <w:szCs w:val="28"/>
        </w:rPr>
        <w:t>dentro de los juzgados de primera instancia de Capital Federal a los</w:t>
      </w:r>
      <w:r w:rsidR="00095472" w:rsidRPr="004801AD">
        <w:rPr>
          <w:rFonts w:ascii="Garamond" w:hAnsi="Garamond"/>
          <w:sz w:val="28"/>
          <w:szCs w:val="28"/>
        </w:rPr>
        <w:t xml:space="preserve"> nuevos</w:t>
      </w:r>
      <w:r w:rsidR="00747141" w:rsidRPr="004801AD">
        <w:rPr>
          <w:rFonts w:ascii="Garamond" w:hAnsi="Garamond"/>
          <w:sz w:val="28"/>
          <w:szCs w:val="28"/>
        </w:rPr>
        <w:t xml:space="preserve"> juzgados Federales Civiles y Comerciales de la Capital Federal. </w:t>
      </w:r>
    </w:p>
    <w:p w14:paraId="7F8B5B72" w14:textId="1F2F4A48" w:rsidR="00747141" w:rsidRPr="004801AD" w:rsidRDefault="00747141" w:rsidP="00E44C90">
      <w:pPr>
        <w:spacing w:line="360" w:lineRule="auto"/>
        <w:ind w:firstLine="360"/>
        <w:jc w:val="both"/>
        <w:rPr>
          <w:rFonts w:ascii="Garamond" w:hAnsi="Garamond"/>
          <w:i/>
          <w:iCs/>
          <w:color w:val="000000"/>
          <w:sz w:val="28"/>
          <w:szCs w:val="28"/>
          <w:lang w:eastAsia="es-ES"/>
        </w:rPr>
      </w:pPr>
      <w:r w:rsidRPr="004801AD">
        <w:rPr>
          <w:rFonts w:ascii="Garamond" w:hAnsi="Garamond"/>
          <w:sz w:val="28"/>
          <w:szCs w:val="28"/>
        </w:rPr>
        <w:t xml:space="preserve">El art. 33 del decreto </w:t>
      </w:r>
      <w:r w:rsidRPr="004801AD">
        <w:rPr>
          <w:rFonts w:ascii="Garamond" w:hAnsi="Garamond"/>
          <w:sz w:val="28"/>
          <w:szCs w:val="28"/>
        </w:rPr>
        <w:softHyphen/>
        <w:t xml:space="preserve"> ley mencionado, transformo a la “</w:t>
      </w:r>
      <w:r w:rsidRPr="004801AD">
        <w:rPr>
          <w:rFonts w:ascii="Garamond" w:hAnsi="Garamond"/>
          <w:i/>
          <w:sz w:val="28"/>
          <w:szCs w:val="28"/>
        </w:rPr>
        <w:t>Cámara Nacional de Apelaciones en lo Civil, Comercial y Penal Especial y en lo Contencioso-Administrativo de la Capital Federal</w:t>
      </w:r>
      <w:r w:rsidRPr="004801AD">
        <w:rPr>
          <w:rFonts w:ascii="Garamond" w:hAnsi="Garamond"/>
          <w:sz w:val="28"/>
          <w:szCs w:val="28"/>
        </w:rPr>
        <w:t>”, existente a la fecha de la sanción de este decreto-ley, en "</w:t>
      </w:r>
      <w:r w:rsidRPr="004801AD">
        <w:rPr>
          <w:rFonts w:ascii="Garamond" w:hAnsi="Garamond"/>
          <w:i/>
          <w:sz w:val="28"/>
          <w:szCs w:val="28"/>
        </w:rPr>
        <w:t>Cámara Nacional de Apelaciones en lo Federal y Contencioso-Administrativo</w:t>
      </w:r>
      <w:r w:rsidRPr="004801AD">
        <w:rPr>
          <w:rFonts w:ascii="Garamond" w:hAnsi="Garamond"/>
          <w:sz w:val="28"/>
          <w:szCs w:val="28"/>
        </w:rPr>
        <w:t xml:space="preserve">" y será tribunal de alzada respecto de los jueces nacionales de primera instancia en lo civil y comercial federal, en lo criminal y correccional federal y en lo contencioso-administrativo. </w:t>
      </w:r>
      <w:r w:rsidR="006B755A" w:rsidRPr="004801AD">
        <w:rPr>
          <w:rFonts w:ascii="Garamond" w:hAnsi="Garamond"/>
          <w:sz w:val="28"/>
          <w:szCs w:val="28"/>
        </w:rPr>
        <w:t xml:space="preserve">Mientras que </w:t>
      </w:r>
      <w:r w:rsidRPr="004801AD">
        <w:rPr>
          <w:rFonts w:ascii="Garamond" w:hAnsi="Garamond"/>
          <w:i/>
          <w:iCs/>
          <w:color w:val="000000"/>
          <w:sz w:val="28"/>
          <w:szCs w:val="28"/>
          <w:lang w:eastAsia="es-ES"/>
        </w:rPr>
        <w:t xml:space="preserve">el nuevo art. 32 inc. 3.a) del mentado decreto ley, crea la Cámara de Apelaciones Civil y comercial Federal. </w:t>
      </w:r>
    </w:p>
    <w:p w14:paraId="3B8027BE" w14:textId="79B7E0D9" w:rsidR="00A233ED" w:rsidRPr="004801AD" w:rsidRDefault="00747141" w:rsidP="00A233ED">
      <w:pPr>
        <w:spacing w:line="360" w:lineRule="auto"/>
        <w:ind w:firstLine="360"/>
        <w:jc w:val="both"/>
        <w:rPr>
          <w:rFonts w:ascii="Garamond" w:hAnsi="Garamond"/>
          <w:sz w:val="28"/>
          <w:szCs w:val="28"/>
        </w:rPr>
      </w:pPr>
      <w:r w:rsidRPr="004801AD">
        <w:rPr>
          <w:rFonts w:ascii="Garamond" w:hAnsi="Garamond"/>
          <w:sz w:val="28"/>
          <w:szCs w:val="28"/>
        </w:rPr>
        <w:t xml:space="preserve">Por ley </w:t>
      </w:r>
      <w:r w:rsidRPr="004801AD">
        <w:rPr>
          <w:rFonts w:ascii="Garamond" w:eastAsia="Calibri" w:hAnsi="Garamond"/>
          <w:sz w:val="28"/>
          <w:szCs w:val="28"/>
        </w:rPr>
        <w:t>17.928</w:t>
      </w:r>
      <w:r w:rsidRPr="004801AD">
        <w:rPr>
          <w:rFonts w:ascii="Garamond" w:hAnsi="Garamond"/>
          <w:sz w:val="28"/>
          <w:szCs w:val="28"/>
        </w:rPr>
        <w:t xml:space="preserve"> </w:t>
      </w:r>
      <w:r w:rsidRPr="004801AD">
        <w:rPr>
          <w:rFonts w:ascii="Garamond" w:eastAsia="Calibri" w:hAnsi="Garamond"/>
          <w:sz w:val="28"/>
          <w:szCs w:val="28"/>
        </w:rPr>
        <w:t>(B. O. 31-10-68)</w:t>
      </w:r>
      <w:r w:rsidRPr="004801AD">
        <w:rPr>
          <w:rFonts w:ascii="Garamond" w:hAnsi="Garamond"/>
          <w:sz w:val="28"/>
          <w:szCs w:val="28"/>
        </w:rPr>
        <w:t xml:space="preserve"> se crean </w:t>
      </w:r>
      <w:r w:rsidR="00A233ED" w:rsidRPr="004801AD">
        <w:rPr>
          <w:rFonts w:ascii="Garamond" w:hAnsi="Garamond"/>
          <w:sz w:val="28"/>
          <w:szCs w:val="28"/>
        </w:rPr>
        <w:t>t</w:t>
      </w:r>
      <w:r w:rsidRPr="004801AD">
        <w:rPr>
          <w:rFonts w:ascii="Garamond" w:eastAsia="Calibri" w:hAnsi="Garamond"/>
          <w:sz w:val="28"/>
          <w:szCs w:val="28"/>
        </w:rPr>
        <w:t xml:space="preserve">res </w:t>
      </w:r>
      <w:r w:rsidR="00A233ED" w:rsidRPr="004801AD">
        <w:rPr>
          <w:rFonts w:ascii="Garamond" w:eastAsia="Calibri" w:hAnsi="Garamond"/>
          <w:sz w:val="28"/>
          <w:szCs w:val="28"/>
        </w:rPr>
        <w:t xml:space="preserve">Juzgados Nacionales </w:t>
      </w:r>
      <w:r w:rsidRPr="004801AD">
        <w:rPr>
          <w:rFonts w:ascii="Garamond" w:eastAsia="Calibri" w:hAnsi="Garamond"/>
          <w:sz w:val="28"/>
          <w:szCs w:val="28"/>
        </w:rPr>
        <w:t>en lo Civil y Comercial Federal, con 3 secretarías cada uno</w:t>
      </w:r>
      <w:r w:rsidR="00A233ED" w:rsidRPr="004801AD">
        <w:rPr>
          <w:rFonts w:ascii="Garamond" w:eastAsia="Calibri" w:hAnsi="Garamond"/>
          <w:sz w:val="28"/>
          <w:szCs w:val="28"/>
        </w:rPr>
        <w:t xml:space="preserve"> y p</w:t>
      </w:r>
      <w:r w:rsidR="00A233ED" w:rsidRPr="004801AD">
        <w:rPr>
          <w:rFonts w:ascii="Garamond" w:hAnsi="Garamond"/>
          <w:sz w:val="28"/>
          <w:szCs w:val="28"/>
        </w:rPr>
        <w:t xml:space="preserve">or medio de la ley 21069 se crean 3 juzgados Civil y Comercial Federal. </w:t>
      </w:r>
    </w:p>
    <w:p w14:paraId="20401841" w14:textId="5F365EA6" w:rsidR="00747141" w:rsidRPr="004801AD" w:rsidRDefault="00747141" w:rsidP="00E44C90">
      <w:pPr>
        <w:spacing w:line="360" w:lineRule="auto"/>
        <w:ind w:firstLine="360"/>
        <w:jc w:val="both"/>
        <w:rPr>
          <w:rFonts w:ascii="Garamond" w:hAnsi="Garamond"/>
          <w:sz w:val="28"/>
          <w:szCs w:val="28"/>
        </w:rPr>
      </w:pPr>
      <w:r w:rsidRPr="004801AD">
        <w:rPr>
          <w:rFonts w:ascii="Garamond" w:hAnsi="Garamond"/>
          <w:sz w:val="28"/>
          <w:szCs w:val="28"/>
        </w:rPr>
        <w:t>Actualmente existen 1</w:t>
      </w:r>
      <w:r w:rsidR="00095472" w:rsidRPr="004801AD">
        <w:rPr>
          <w:rFonts w:ascii="Garamond" w:hAnsi="Garamond"/>
          <w:sz w:val="28"/>
          <w:szCs w:val="28"/>
        </w:rPr>
        <w:t>1</w:t>
      </w:r>
      <w:r w:rsidRPr="004801AD">
        <w:rPr>
          <w:rFonts w:ascii="Garamond" w:hAnsi="Garamond"/>
          <w:sz w:val="28"/>
          <w:szCs w:val="28"/>
        </w:rPr>
        <w:t xml:space="preserve"> </w:t>
      </w:r>
      <w:r w:rsidR="00095472" w:rsidRPr="004801AD">
        <w:rPr>
          <w:rFonts w:ascii="Garamond" w:hAnsi="Garamond"/>
          <w:sz w:val="28"/>
          <w:szCs w:val="28"/>
        </w:rPr>
        <w:t xml:space="preserve">Juzgados Federales Civiles y Comerciales de Primera Instancia </w:t>
      </w:r>
      <w:r w:rsidRPr="004801AD">
        <w:rPr>
          <w:rFonts w:ascii="Garamond" w:hAnsi="Garamond"/>
          <w:sz w:val="28"/>
          <w:szCs w:val="28"/>
        </w:rPr>
        <w:t xml:space="preserve">con dos secretarias para cada juzgado. </w:t>
      </w:r>
      <w:r w:rsidR="00C346ED" w:rsidRPr="004801AD">
        <w:rPr>
          <w:rFonts w:ascii="Garamond" w:hAnsi="Garamond"/>
          <w:sz w:val="28"/>
          <w:szCs w:val="28"/>
        </w:rPr>
        <w:t>Si bien en un principio existían una división entre ambas secretarias</w:t>
      </w:r>
      <w:r w:rsidR="00C346ED">
        <w:rPr>
          <w:rFonts w:ascii="Garamond" w:hAnsi="Garamond"/>
          <w:sz w:val="28"/>
          <w:szCs w:val="28"/>
        </w:rPr>
        <w:t>,</w:t>
      </w:r>
      <w:r w:rsidR="00C346ED" w:rsidRPr="004801AD">
        <w:rPr>
          <w:rFonts w:ascii="Garamond" w:hAnsi="Garamond"/>
          <w:sz w:val="28"/>
          <w:szCs w:val="28"/>
        </w:rPr>
        <w:t xml:space="preserve"> donde una secretaria actuaba en materia contenciosa y otra juicio ejecutivo y ciudadanía, desde hace </w:t>
      </w:r>
      <w:r w:rsidR="00C346ED" w:rsidRPr="004801AD">
        <w:rPr>
          <w:rFonts w:ascii="Garamond" w:hAnsi="Garamond"/>
          <w:sz w:val="28"/>
          <w:szCs w:val="28"/>
        </w:rPr>
        <w:lastRenderedPageBreak/>
        <w:t xml:space="preserve">más de </w:t>
      </w:r>
      <w:r w:rsidR="00F21AA3">
        <w:rPr>
          <w:rFonts w:ascii="Garamond" w:hAnsi="Garamond"/>
          <w:sz w:val="28"/>
          <w:szCs w:val="28"/>
        </w:rPr>
        <w:t>25</w:t>
      </w:r>
      <w:r w:rsidR="00C346ED" w:rsidRPr="004801AD">
        <w:rPr>
          <w:rFonts w:ascii="Garamond" w:hAnsi="Garamond"/>
          <w:sz w:val="28"/>
          <w:szCs w:val="28"/>
        </w:rPr>
        <w:t xml:space="preserve"> años se unificaron y ambas secretarias actúan tanto en materia contencioso, como ciudadanía y ejecuciones.  </w:t>
      </w:r>
      <w:r w:rsidRPr="004801AD">
        <w:rPr>
          <w:rFonts w:ascii="Garamond" w:hAnsi="Garamond"/>
          <w:sz w:val="28"/>
          <w:szCs w:val="28"/>
        </w:rPr>
        <w:t xml:space="preserve">En esa misma época se creó la mesa de entradas de asignación de causas en la Secretaria General de la Cámara de Apelaciones Federal Civil y Comercial. </w:t>
      </w:r>
    </w:p>
    <w:p w14:paraId="55EF488F" w14:textId="77777777" w:rsidR="00747141" w:rsidRPr="004801AD" w:rsidRDefault="00747141" w:rsidP="00E44C90">
      <w:pPr>
        <w:spacing w:line="360" w:lineRule="auto"/>
        <w:ind w:firstLine="360"/>
        <w:jc w:val="both"/>
        <w:rPr>
          <w:rFonts w:ascii="Garamond" w:hAnsi="Garamond"/>
          <w:b/>
          <w:sz w:val="28"/>
          <w:szCs w:val="28"/>
        </w:rPr>
      </w:pPr>
    </w:p>
    <w:p w14:paraId="1F5272BA" w14:textId="0127D5AC" w:rsidR="00256F27" w:rsidRPr="004801AD" w:rsidRDefault="006B755A" w:rsidP="00A77CB3">
      <w:pPr>
        <w:pStyle w:val="Ttulo1"/>
        <w:numPr>
          <w:ilvl w:val="0"/>
          <w:numId w:val="2"/>
        </w:numPr>
        <w:spacing w:line="360" w:lineRule="auto"/>
        <w:jc w:val="both"/>
        <w:rPr>
          <w:szCs w:val="28"/>
        </w:rPr>
      </w:pPr>
      <w:bookmarkStart w:id="4" w:name="_Toc18145333"/>
      <w:bookmarkStart w:id="5" w:name="_Toc19113549"/>
      <w:r w:rsidRPr="004801AD">
        <w:rPr>
          <w:szCs w:val="28"/>
        </w:rPr>
        <w:t>Tribunales judiciales con competencia federal</w:t>
      </w:r>
      <w:bookmarkEnd w:id="5"/>
      <w:r w:rsidRPr="004801AD">
        <w:rPr>
          <w:szCs w:val="28"/>
        </w:rPr>
        <w:t xml:space="preserve"> </w:t>
      </w:r>
      <w:bookmarkEnd w:id="4"/>
      <w:r w:rsidR="00256F27" w:rsidRPr="004801AD">
        <w:rPr>
          <w:szCs w:val="28"/>
        </w:rPr>
        <w:t xml:space="preserve"> </w:t>
      </w:r>
    </w:p>
    <w:p w14:paraId="611A916A" w14:textId="77777777" w:rsidR="00256F27" w:rsidRPr="004801AD" w:rsidRDefault="00256F27" w:rsidP="00256F27">
      <w:pPr>
        <w:spacing w:line="360" w:lineRule="auto"/>
        <w:jc w:val="both"/>
        <w:rPr>
          <w:rFonts w:ascii="Garamond" w:hAnsi="Garamond"/>
          <w:sz w:val="28"/>
          <w:szCs w:val="28"/>
        </w:rPr>
      </w:pPr>
    </w:p>
    <w:p w14:paraId="773CDCC6" w14:textId="7CE2E0E3" w:rsidR="00256F27" w:rsidRPr="004801AD" w:rsidRDefault="00256F27" w:rsidP="00256F27">
      <w:pPr>
        <w:spacing w:line="360" w:lineRule="auto"/>
        <w:ind w:firstLine="360"/>
        <w:jc w:val="both"/>
        <w:rPr>
          <w:rFonts w:ascii="Garamond" w:hAnsi="Garamond"/>
          <w:sz w:val="28"/>
          <w:szCs w:val="28"/>
        </w:rPr>
      </w:pPr>
      <w:r w:rsidRPr="004801AD">
        <w:rPr>
          <w:rFonts w:ascii="Garamond" w:hAnsi="Garamond"/>
          <w:sz w:val="28"/>
          <w:szCs w:val="28"/>
        </w:rPr>
        <w:t xml:space="preserve">El Poder Judicial </w:t>
      </w:r>
      <w:r w:rsidR="000A7E44" w:rsidRPr="004801AD">
        <w:rPr>
          <w:rFonts w:ascii="Garamond" w:hAnsi="Garamond"/>
          <w:sz w:val="28"/>
          <w:szCs w:val="28"/>
        </w:rPr>
        <w:t xml:space="preserve">Federal, según lo establece el </w:t>
      </w:r>
      <w:r w:rsidR="00C346ED" w:rsidRPr="004801AD">
        <w:rPr>
          <w:rFonts w:ascii="Garamond" w:hAnsi="Garamond"/>
          <w:sz w:val="28"/>
          <w:szCs w:val="28"/>
        </w:rPr>
        <w:t>artículo</w:t>
      </w:r>
      <w:r w:rsidR="000A7E44" w:rsidRPr="004801AD">
        <w:rPr>
          <w:rFonts w:ascii="Garamond" w:hAnsi="Garamond"/>
          <w:sz w:val="28"/>
          <w:szCs w:val="28"/>
        </w:rPr>
        <w:t xml:space="preserve"> 108 de la CN, </w:t>
      </w:r>
      <w:r w:rsidRPr="004801AD">
        <w:rPr>
          <w:rFonts w:ascii="Garamond" w:hAnsi="Garamond"/>
          <w:sz w:val="28"/>
          <w:szCs w:val="28"/>
        </w:rPr>
        <w:t>es ejercido por la C</w:t>
      </w:r>
      <w:r w:rsidR="000A7E44" w:rsidRPr="004801AD">
        <w:rPr>
          <w:rFonts w:ascii="Garamond" w:hAnsi="Garamond"/>
          <w:sz w:val="28"/>
          <w:szCs w:val="28"/>
        </w:rPr>
        <w:t xml:space="preserve">orte Suprema de Justicia de la Nación </w:t>
      </w:r>
      <w:r w:rsidRPr="004801AD">
        <w:rPr>
          <w:rFonts w:ascii="Garamond" w:hAnsi="Garamond"/>
          <w:sz w:val="28"/>
          <w:szCs w:val="28"/>
        </w:rPr>
        <w:t>y por los demás tribunales inferiores</w:t>
      </w:r>
      <w:r w:rsidR="000A7E44" w:rsidRPr="004801AD">
        <w:rPr>
          <w:rFonts w:ascii="Garamond" w:hAnsi="Garamond"/>
          <w:sz w:val="28"/>
          <w:szCs w:val="28"/>
        </w:rPr>
        <w:t xml:space="preserve">, cuyo </w:t>
      </w:r>
      <w:r w:rsidR="00C346ED" w:rsidRPr="004801AD">
        <w:rPr>
          <w:rFonts w:ascii="Garamond" w:hAnsi="Garamond"/>
          <w:sz w:val="28"/>
          <w:szCs w:val="28"/>
        </w:rPr>
        <w:t>número</w:t>
      </w:r>
      <w:r w:rsidR="000A7E44" w:rsidRPr="004801AD">
        <w:rPr>
          <w:rFonts w:ascii="Garamond" w:hAnsi="Garamond"/>
          <w:sz w:val="28"/>
          <w:szCs w:val="28"/>
        </w:rPr>
        <w:t xml:space="preserve"> y determinación la efectuara </w:t>
      </w:r>
      <w:r w:rsidRPr="004801AD">
        <w:rPr>
          <w:rFonts w:ascii="Garamond" w:hAnsi="Garamond"/>
          <w:sz w:val="28"/>
          <w:szCs w:val="28"/>
        </w:rPr>
        <w:t>el Congreso</w:t>
      </w:r>
      <w:r w:rsidR="000A7E44" w:rsidRPr="004801AD">
        <w:rPr>
          <w:rFonts w:ascii="Garamond" w:hAnsi="Garamond"/>
          <w:sz w:val="28"/>
          <w:szCs w:val="28"/>
        </w:rPr>
        <w:t xml:space="preserve"> Federal a lo largo de</w:t>
      </w:r>
      <w:r w:rsidRPr="004801AD">
        <w:rPr>
          <w:rFonts w:ascii="Garamond" w:hAnsi="Garamond"/>
          <w:sz w:val="28"/>
          <w:szCs w:val="28"/>
        </w:rPr>
        <w:t>l territorio de la Nación en función de la potestad prevista en el art. 75, inc. 20 de la C.N.</w:t>
      </w:r>
    </w:p>
    <w:p w14:paraId="74EE9E33" w14:textId="229B2B10" w:rsidR="00256F27" w:rsidRPr="004801AD" w:rsidRDefault="00256F27" w:rsidP="000A7E44">
      <w:pPr>
        <w:spacing w:line="360" w:lineRule="auto"/>
        <w:ind w:firstLine="360"/>
        <w:jc w:val="both"/>
        <w:rPr>
          <w:rFonts w:ascii="Garamond" w:hAnsi="Garamond"/>
          <w:sz w:val="28"/>
          <w:szCs w:val="28"/>
        </w:rPr>
      </w:pPr>
      <w:r w:rsidRPr="004801AD">
        <w:rPr>
          <w:rFonts w:ascii="Garamond" w:hAnsi="Garamond"/>
          <w:sz w:val="28"/>
          <w:szCs w:val="28"/>
        </w:rPr>
        <w:t>En uso de esa facultad, a partir de la ley 24.050,</w:t>
      </w:r>
      <w:r w:rsidR="000A7E44" w:rsidRPr="004801AD">
        <w:rPr>
          <w:rFonts w:ascii="Garamond" w:hAnsi="Garamond"/>
          <w:sz w:val="28"/>
          <w:szCs w:val="28"/>
        </w:rPr>
        <w:t xml:space="preserve"> </w:t>
      </w:r>
      <w:r w:rsidRPr="004801AD">
        <w:rPr>
          <w:rFonts w:ascii="Garamond" w:hAnsi="Garamond"/>
          <w:sz w:val="28"/>
          <w:szCs w:val="28"/>
        </w:rPr>
        <w:t>el Congreso Nacional dispuso la división del territorio nacional en diecisiete (17) distritos judiciales federales: Comodoro Rivadavia, General Roca, Bahía Blanca, Mendoza, Córdoba, Tucumán, Salta, Resistencia, Corrientes, Posadas, Paraná, Rosario, Mar del Plata, Ciudad de Buenos Aires, San Justo, La Plata y San Martín.</w:t>
      </w:r>
    </w:p>
    <w:p w14:paraId="5B209AC9" w14:textId="44D98821" w:rsidR="00256F27" w:rsidRPr="004801AD" w:rsidRDefault="00256F27" w:rsidP="00282AB6">
      <w:pPr>
        <w:spacing w:line="360" w:lineRule="auto"/>
        <w:ind w:firstLine="360"/>
        <w:jc w:val="both"/>
        <w:rPr>
          <w:rFonts w:ascii="Garamond" w:hAnsi="Garamond"/>
          <w:sz w:val="28"/>
          <w:szCs w:val="28"/>
        </w:rPr>
      </w:pPr>
      <w:r w:rsidRPr="004801AD">
        <w:rPr>
          <w:rFonts w:ascii="Garamond" w:hAnsi="Garamond"/>
          <w:sz w:val="28"/>
          <w:szCs w:val="28"/>
        </w:rPr>
        <w:t>En la imagen siguiente se puede observar la división territorial de la justicia federal en los diecisiete (17) distritos mencionados.</w:t>
      </w:r>
      <w:r w:rsidR="00282AB6" w:rsidRPr="004801AD">
        <w:rPr>
          <w:rFonts w:ascii="Garamond" w:hAnsi="Garamond"/>
          <w:sz w:val="28"/>
          <w:szCs w:val="28"/>
        </w:rPr>
        <w:t xml:space="preserve"> </w:t>
      </w:r>
      <w:r w:rsidRPr="004801AD">
        <w:rPr>
          <w:rFonts w:ascii="Garamond" w:hAnsi="Garamond"/>
          <w:sz w:val="28"/>
          <w:szCs w:val="28"/>
        </w:rPr>
        <w:t>Como se puede ver en el mapa, algunas jurisdicciones coinciden con la provincia a la que pertenecen, como es el caso de la jurisdicción de Paraná –que coincide territorialmente con la provincia de Entre Ríos, a la que pertenece—, mientras que otras abarcan varias provincias. Tal es el caso del distrito de Córdoba, que excede los límites políticos de la aludida provincia homónima e incluye también a la Provincia de La Rioja. Lo mismo ocurre con la jurisdicción de Tucumán, que incluye a la provincia homónima y se extiende a las provincias de Santiago del Estero y Catamarca.</w:t>
      </w:r>
    </w:p>
    <w:p w14:paraId="10AA88B8" w14:textId="1FD3EE38" w:rsidR="00256F27" w:rsidRPr="004801AD" w:rsidRDefault="00256F27" w:rsidP="006B755A">
      <w:pPr>
        <w:spacing w:line="360" w:lineRule="auto"/>
        <w:ind w:firstLine="360"/>
        <w:jc w:val="both"/>
        <w:rPr>
          <w:rFonts w:ascii="Garamond" w:hAnsi="Garamond"/>
          <w:sz w:val="28"/>
          <w:szCs w:val="28"/>
        </w:rPr>
      </w:pPr>
      <w:r w:rsidRPr="004801AD">
        <w:rPr>
          <w:rFonts w:ascii="Garamond" w:hAnsi="Garamond"/>
          <w:sz w:val="28"/>
          <w:szCs w:val="28"/>
        </w:rPr>
        <w:t xml:space="preserve">En la C.A.B.A. y en el conurbano bonaerense, la densidad poblacional genera no sólo que el territorio se divida en una mayor cantidad de </w:t>
      </w:r>
      <w:r w:rsidRPr="004801AD">
        <w:rPr>
          <w:rFonts w:ascii="Garamond" w:hAnsi="Garamond"/>
          <w:sz w:val="28"/>
          <w:szCs w:val="28"/>
        </w:rPr>
        <w:lastRenderedPageBreak/>
        <w:t xml:space="preserve">jurisdicciones, sino también que los juzgados federales allí establecidos tengan una competencia más específica según la materia en la que entienden: penal, electoral, civil, comercial, etc. La competencia según la materia se divide y subdivide en los siguientes fueros: criminal y correccional (instrucción, correccional, menores), ejecución penal,  penal </w:t>
      </w:r>
      <w:r w:rsidR="00C346ED" w:rsidRPr="004801AD">
        <w:rPr>
          <w:rFonts w:ascii="Garamond" w:hAnsi="Garamond"/>
          <w:sz w:val="28"/>
          <w:szCs w:val="28"/>
        </w:rPr>
        <w:t>económico,</w:t>
      </w:r>
      <w:r w:rsidRPr="004801AD">
        <w:rPr>
          <w:rFonts w:ascii="Garamond" w:hAnsi="Garamond"/>
          <w:sz w:val="28"/>
          <w:szCs w:val="28"/>
        </w:rPr>
        <w:t xml:space="preserve"> penal de rogatorias, civil, comercial, laboral, seguridad social, contencioso administrativo y electoral.</w:t>
      </w:r>
    </w:p>
    <w:p w14:paraId="59837FD4" w14:textId="77777777" w:rsidR="00256F27" w:rsidRPr="004801AD" w:rsidRDefault="00256F27" w:rsidP="00256F27">
      <w:pPr>
        <w:rPr>
          <w:rFonts w:ascii="Garamond" w:hAnsi="Garamond"/>
          <w:sz w:val="28"/>
          <w:szCs w:val="28"/>
        </w:rPr>
      </w:pPr>
    </w:p>
    <w:p w14:paraId="57BF72B6" w14:textId="18EA9D3D" w:rsidR="00747141" w:rsidRPr="004801AD" w:rsidRDefault="00566F70" w:rsidP="00A77CB3">
      <w:pPr>
        <w:pStyle w:val="Ttulo1"/>
        <w:numPr>
          <w:ilvl w:val="0"/>
          <w:numId w:val="2"/>
        </w:numPr>
        <w:spacing w:line="360" w:lineRule="auto"/>
        <w:jc w:val="both"/>
        <w:rPr>
          <w:szCs w:val="28"/>
        </w:rPr>
      </w:pPr>
      <w:bookmarkStart w:id="6" w:name="_Toc19113550"/>
      <w:r w:rsidRPr="004801AD">
        <w:rPr>
          <w:szCs w:val="28"/>
        </w:rPr>
        <w:t>Competencia civil y comercial federal</w:t>
      </w:r>
      <w:bookmarkEnd w:id="6"/>
      <w:r w:rsidR="00747141" w:rsidRPr="004801AD">
        <w:rPr>
          <w:szCs w:val="28"/>
        </w:rPr>
        <w:t xml:space="preserve"> </w:t>
      </w:r>
    </w:p>
    <w:p w14:paraId="2D701CFD" w14:textId="77777777" w:rsidR="00146C7C" w:rsidRPr="004801AD" w:rsidRDefault="00146C7C" w:rsidP="00E44C90">
      <w:pPr>
        <w:spacing w:line="360" w:lineRule="auto"/>
        <w:jc w:val="both"/>
        <w:rPr>
          <w:rFonts w:ascii="Garamond" w:hAnsi="Garamond"/>
          <w:sz w:val="28"/>
          <w:szCs w:val="28"/>
        </w:rPr>
      </w:pPr>
    </w:p>
    <w:p w14:paraId="66A08502" w14:textId="533C27BF" w:rsidR="00747141" w:rsidRPr="004801AD" w:rsidRDefault="00747141" w:rsidP="00E44C90">
      <w:pPr>
        <w:spacing w:line="360" w:lineRule="auto"/>
        <w:ind w:firstLine="708"/>
        <w:jc w:val="both"/>
        <w:rPr>
          <w:rFonts w:ascii="Garamond" w:hAnsi="Garamond"/>
          <w:color w:val="000000" w:themeColor="text1"/>
          <w:sz w:val="28"/>
          <w:szCs w:val="28"/>
        </w:rPr>
      </w:pPr>
      <w:r w:rsidRPr="004801AD">
        <w:rPr>
          <w:rFonts w:ascii="Garamond" w:hAnsi="Garamond"/>
          <w:color w:val="000000" w:themeColor="text1"/>
          <w:sz w:val="28"/>
          <w:szCs w:val="28"/>
        </w:rPr>
        <w:t xml:space="preserve">Entre sus competencia más </w:t>
      </w:r>
      <w:r w:rsidR="00BD3B8A" w:rsidRPr="004801AD">
        <w:rPr>
          <w:rFonts w:ascii="Garamond" w:hAnsi="Garamond"/>
          <w:color w:val="000000" w:themeColor="text1"/>
          <w:sz w:val="28"/>
          <w:szCs w:val="28"/>
        </w:rPr>
        <w:t xml:space="preserve">tradicionales </w:t>
      </w:r>
      <w:r w:rsidRPr="004801AD">
        <w:rPr>
          <w:rFonts w:ascii="Garamond" w:hAnsi="Garamond"/>
          <w:color w:val="000000" w:themeColor="text1"/>
          <w:sz w:val="28"/>
          <w:szCs w:val="28"/>
        </w:rPr>
        <w:t>podemos citar a los conflict</w:t>
      </w:r>
      <w:r w:rsidR="0079118A" w:rsidRPr="004801AD">
        <w:rPr>
          <w:rFonts w:ascii="Garamond" w:hAnsi="Garamond"/>
          <w:color w:val="000000" w:themeColor="text1"/>
          <w:sz w:val="28"/>
          <w:szCs w:val="28"/>
        </w:rPr>
        <w:t xml:space="preserve">os sobre </w:t>
      </w:r>
      <w:r w:rsidR="00587315" w:rsidRPr="004801AD">
        <w:rPr>
          <w:rFonts w:ascii="Garamond" w:hAnsi="Garamond"/>
          <w:color w:val="000000" w:themeColor="text1"/>
          <w:sz w:val="28"/>
          <w:szCs w:val="28"/>
        </w:rPr>
        <w:t xml:space="preserve">derecho marítimo y aeronáutico, </w:t>
      </w:r>
      <w:r w:rsidRPr="004801AD">
        <w:rPr>
          <w:rFonts w:ascii="Garamond" w:hAnsi="Garamond"/>
          <w:color w:val="000000" w:themeColor="text1"/>
          <w:sz w:val="28"/>
          <w:szCs w:val="28"/>
        </w:rPr>
        <w:t xml:space="preserve">y ahora también satelital –que transmiten información-. </w:t>
      </w:r>
      <w:r w:rsidR="00BD3B8A" w:rsidRPr="004801AD">
        <w:rPr>
          <w:rFonts w:ascii="Garamond" w:hAnsi="Garamond"/>
          <w:color w:val="000000" w:themeColor="text1"/>
          <w:sz w:val="28"/>
          <w:szCs w:val="28"/>
        </w:rPr>
        <w:t xml:space="preserve">Además </w:t>
      </w:r>
      <w:r w:rsidRPr="004801AD">
        <w:rPr>
          <w:rFonts w:ascii="Garamond" w:hAnsi="Garamond"/>
          <w:color w:val="000000" w:themeColor="text1"/>
          <w:sz w:val="28"/>
          <w:szCs w:val="28"/>
        </w:rPr>
        <w:t xml:space="preserve">es competencia de los jueces </w:t>
      </w:r>
      <w:r w:rsidRPr="004801AD">
        <w:rPr>
          <w:rFonts w:ascii="Garamond" w:hAnsi="Garamond"/>
          <w:bCs/>
          <w:color w:val="000000" w:themeColor="text1"/>
          <w:sz w:val="28"/>
          <w:szCs w:val="28"/>
        </w:rPr>
        <w:t>civiles</w:t>
      </w:r>
      <w:r w:rsidRPr="004801AD">
        <w:rPr>
          <w:rFonts w:ascii="Garamond" w:hAnsi="Garamond"/>
          <w:color w:val="000000" w:themeColor="text1"/>
          <w:sz w:val="28"/>
          <w:szCs w:val="28"/>
        </w:rPr>
        <w:t xml:space="preserve"> </w:t>
      </w:r>
      <w:r w:rsidRPr="004801AD">
        <w:rPr>
          <w:rFonts w:ascii="Garamond" w:hAnsi="Garamond"/>
          <w:bCs/>
          <w:color w:val="000000" w:themeColor="text1"/>
          <w:sz w:val="28"/>
          <w:szCs w:val="28"/>
        </w:rPr>
        <w:t>y</w:t>
      </w:r>
      <w:r w:rsidRPr="004801AD">
        <w:rPr>
          <w:rFonts w:ascii="Garamond" w:hAnsi="Garamond"/>
          <w:color w:val="000000" w:themeColor="text1"/>
          <w:sz w:val="28"/>
          <w:szCs w:val="28"/>
        </w:rPr>
        <w:t xml:space="preserve"> </w:t>
      </w:r>
      <w:r w:rsidRPr="004801AD">
        <w:rPr>
          <w:rFonts w:ascii="Garamond" w:hAnsi="Garamond"/>
          <w:bCs/>
          <w:color w:val="000000" w:themeColor="text1"/>
          <w:sz w:val="28"/>
          <w:szCs w:val="28"/>
        </w:rPr>
        <w:t>comerciales</w:t>
      </w:r>
      <w:r w:rsidRPr="004801AD">
        <w:rPr>
          <w:rFonts w:ascii="Garamond" w:hAnsi="Garamond"/>
          <w:color w:val="000000" w:themeColor="text1"/>
          <w:sz w:val="28"/>
          <w:szCs w:val="28"/>
        </w:rPr>
        <w:t xml:space="preserve"> </w:t>
      </w:r>
      <w:r w:rsidRPr="004801AD">
        <w:rPr>
          <w:rFonts w:ascii="Garamond" w:hAnsi="Garamond"/>
          <w:bCs/>
          <w:color w:val="000000" w:themeColor="text1"/>
          <w:sz w:val="28"/>
          <w:szCs w:val="28"/>
        </w:rPr>
        <w:t xml:space="preserve">federales </w:t>
      </w:r>
      <w:r w:rsidRPr="004801AD">
        <w:rPr>
          <w:rFonts w:ascii="Garamond" w:hAnsi="Garamond"/>
          <w:color w:val="000000" w:themeColor="text1"/>
          <w:sz w:val="28"/>
          <w:szCs w:val="28"/>
        </w:rPr>
        <w:t xml:space="preserve">de la Capital </w:t>
      </w:r>
      <w:r w:rsidRPr="004801AD">
        <w:rPr>
          <w:rFonts w:ascii="Garamond" w:hAnsi="Garamond"/>
          <w:bCs/>
          <w:color w:val="000000" w:themeColor="text1"/>
          <w:sz w:val="28"/>
          <w:szCs w:val="28"/>
        </w:rPr>
        <w:t>Federal</w:t>
      </w:r>
      <w:r w:rsidRPr="004801AD">
        <w:rPr>
          <w:rFonts w:ascii="Garamond" w:hAnsi="Garamond"/>
          <w:color w:val="000000" w:themeColor="text1"/>
          <w:sz w:val="28"/>
          <w:szCs w:val="28"/>
        </w:rPr>
        <w:t xml:space="preserve"> para conocer en las causas de almirantazgo </w:t>
      </w:r>
      <w:r w:rsidRPr="004801AD">
        <w:rPr>
          <w:rFonts w:ascii="Garamond" w:hAnsi="Garamond"/>
          <w:bCs/>
          <w:color w:val="000000" w:themeColor="text1"/>
          <w:sz w:val="28"/>
          <w:szCs w:val="28"/>
        </w:rPr>
        <w:t>y</w:t>
      </w:r>
      <w:r w:rsidRPr="004801AD">
        <w:rPr>
          <w:rFonts w:ascii="Garamond" w:hAnsi="Garamond"/>
          <w:color w:val="000000" w:themeColor="text1"/>
          <w:sz w:val="28"/>
          <w:szCs w:val="28"/>
        </w:rPr>
        <w:t xml:space="preserve"> jurisdicción marítima en materia no criminal.</w:t>
      </w:r>
    </w:p>
    <w:p w14:paraId="371B9636" w14:textId="1D4C7592" w:rsidR="00747141" w:rsidRPr="004801AD" w:rsidRDefault="00C346ED" w:rsidP="00E44C90">
      <w:pPr>
        <w:spacing w:line="360" w:lineRule="auto"/>
        <w:ind w:firstLine="708"/>
        <w:jc w:val="both"/>
        <w:rPr>
          <w:rFonts w:ascii="Garamond" w:hAnsi="Garamond"/>
          <w:color w:val="000000" w:themeColor="text1"/>
          <w:sz w:val="28"/>
          <w:szCs w:val="28"/>
        </w:rPr>
      </w:pPr>
      <w:r w:rsidRPr="004801AD">
        <w:rPr>
          <w:rFonts w:ascii="Garamond" w:hAnsi="Garamond"/>
          <w:color w:val="000000" w:themeColor="text1"/>
          <w:sz w:val="28"/>
          <w:szCs w:val="28"/>
        </w:rPr>
        <w:t>También</w:t>
      </w:r>
      <w:r w:rsidR="00587315" w:rsidRPr="004801AD">
        <w:rPr>
          <w:rFonts w:ascii="Garamond" w:hAnsi="Garamond"/>
          <w:color w:val="000000" w:themeColor="text1"/>
          <w:sz w:val="28"/>
          <w:szCs w:val="28"/>
        </w:rPr>
        <w:t xml:space="preserve"> es competencia d</w:t>
      </w:r>
      <w:r w:rsidR="00747141" w:rsidRPr="004801AD">
        <w:rPr>
          <w:rFonts w:ascii="Garamond" w:hAnsi="Garamond"/>
          <w:color w:val="000000" w:themeColor="text1"/>
          <w:sz w:val="28"/>
          <w:szCs w:val="28"/>
        </w:rPr>
        <w:t xml:space="preserve">el fuero </w:t>
      </w:r>
      <w:r w:rsidR="00747141" w:rsidRPr="004801AD">
        <w:rPr>
          <w:rFonts w:ascii="Garamond" w:hAnsi="Garamond"/>
          <w:bCs/>
          <w:color w:val="000000" w:themeColor="text1"/>
          <w:sz w:val="28"/>
          <w:szCs w:val="28"/>
        </w:rPr>
        <w:t>civil</w:t>
      </w:r>
      <w:r w:rsidR="00747141" w:rsidRPr="004801AD">
        <w:rPr>
          <w:rFonts w:ascii="Garamond" w:hAnsi="Garamond"/>
          <w:color w:val="000000" w:themeColor="text1"/>
          <w:sz w:val="28"/>
          <w:szCs w:val="28"/>
        </w:rPr>
        <w:t xml:space="preserve"> </w:t>
      </w:r>
      <w:r w:rsidR="00747141" w:rsidRPr="004801AD">
        <w:rPr>
          <w:rFonts w:ascii="Garamond" w:hAnsi="Garamond"/>
          <w:bCs/>
          <w:color w:val="000000" w:themeColor="text1"/>
          <w:sz w:val="28"/>
          <w:szCs w:val="28"/>
        </w:rPr>
        <w:t>y</w:t>
      </w:r>
      <w:r w:rsidR="00747141" w:rsidRPr="004801AD">
        <w:rPr>
          <w:rFonts w:ascii="Garamond" w:hAnsi="Garamond"/>
          <w:color w:val="000000" w:themeColor="text1"/>
          <w:sz w:val="28"/>
          <w:szCs w:val="28"/>
        </w:rPr>
        <w:t xml:space="preserve"> </w:t>
      </w:r>
      <w:r w:rsidR="00747141" w:rsidRPr="004801AD">
        <w:rPr>
          <w:rFonts w:ascii="Garamond" w:hAnsi="Garamond"/>
          <w:bCs/>
          <w:color w:val="000000" w:themeColor="text1"/>
          <w:sz w:val="28"/>
          <w:szCs w:val="28"/>
        </w:rPr>
        <w:t>comercial</w:t>
      </w:r>
      <w:r w:rsidR="00747141" w:rsidRPr="004801AD">
        <w:rPr>
          <w:rFonts w:ascii="Garamond" w:hAnsi="Garamond"/>
          <w:color w:val="000000" w:themeColor="text1"/>
          <w:sz w:val="28"/>
          <w:szCs w:val="28"/>
        </w:rPr>
        <w:t xml:space="preserve"> </w:t>
      </w:r>
      <w:r w:rsidR="00747141" w:rsidRPr="004801AD">
        <w:rPr>
          <w:rFonts w:ascii="Garamond" w:hAnsi="Garamond"/>
          <w:bCs/>
          <w:color w:val="000000" w:themeColor="text1"/>
          <w:sz w:val="28"/>
          <w:szCs w:val="28"/>
        </w:rPr>
        <w:t>federal</w:t>
      </w:r>
      <w:r w:rsidR="00747141" w:rsidRPr="004801AD">
        <w:rPr>
          <w:rFonts w:ascii="Garamond" w:hAnsi="Garamond"/>
          <w:color w:val="000000" w:themeColor="text1"/>
          <w:sz w:val="28"/>
          <w:szCs w:val="28"/>
        </w:rPr>
        <w:t xml:space="preserve"> </w:t>
      </w:r>
      <w:r w:rsidR="00587315" w:rsidRPr="004801AD">
        <w:rPr>
          <w:rFonts w:ascii="Garamond" w:hAnsi="Garamond"/>
          <w:color w:val="000000" w:themeColor="text1"/>
          <w:sz w:val="28"/>
          <w:szCs w:val="28"/>
        </w:rPr>
        <w:t xml:space="preserve">las demandas </w:t>
      </w:r>
      <w:r w:rsidR="00747141" w:rsidRPr="004801AD">
        <w:rPr>
          <w:rFonts w:ascii="Garamond" w:hAnsi="Garamond"/>
          <w:color w:val="000000" w:themeColor="text1"/>
          <w:sz w:val="28"/>
          <w:szCs w:val="28"/>
        </w:rPr>
        <w:t xml:space="preserve">sobre las prestaciones de salud previstas en la ley N° 23.661 </w:t>
      </w:r>
      <w:r w:rsidR="00587315" w:rsidRPr="004801AD">
        <w:rPr>
          <w:rFonts w:ascii="Garamond" w:hAnsi="Garamond"/>
          <w:color w:val="000000" w:themeColor="text1"/>
          <w:sz w:val="28"/>
          <w:szCs w:val="28"/>
        </w:rPr>
        <w:t xml:space="preserve">y las </w:t>
      </w:r>
      <w:r w:rsidR="00747141" w:rsidRPr="004801AD">
        <w:rPr>
          <w:rFonts w:ascii="Garamond" w:hAnsi="Garamond"/>
          <w:bCs/>
          <w:color w:val="000000" w:themeColor="text1"/>
          <w:sz w:val="28"/>
          <w:szCs w:val="28"/>
        </w:rPr>
        <w:softHyphen/>
      </w:r>
      <w:r w:rsidR="00747141" w:rsidRPr="004801AD">
        <w:rPr>
          <w:rFonts w:ascii="Garamond" w:hAnsi="Garamond"/>
          <w:color w:val="000000" w:themeColor="text1"/>
          <w:sz w:val="28"/>
          <w:szCs w:val="28"/>
        </w:rPr>
        <w:t xml:space="preserve"> que establece el Sistema Nacional de Seguro de Salud, llamado a sustituir al anterior régimen (arts. 1° </w:t>
      </w:r>
      <w:r w:rsidR="00747141" w:rsidRPr="004801AD">
        <w:rPr>
          <w:rFonts w:ascii="Garamond" w:hAnsi="Garamond"/>
          <w:bCs/>
          <w:color w:val="000000" w:themeColor="text1"/>
          <w:sz w:val="28"/>
          <w:szCs w:val="28"/>
        </w:rPr>
        <w:t>y</w:t>
      </w:r>
      <w:r w:rsidR="00747141" w:rsidRPr="004801AD">
        <w:rPr>
          <w:rFonts w:ascii="Garamond" w:hAnsi="Garamond"/>
          <w:color w:val="000000" w:themeColor="text1"/>
          <w:sz w:val="28"/>
          <w:szCs w:val="28"/>
        </w:rPr>
        <w:t xml:space="preserve"> 2° de la citada ley), conclusión a la que no obsta la necesaria existencia de un período de adecuación al nuevo sistema (conf. arts. 33 </w:t>
      </w:r>
      <w:r w:rsidR="00747141" w:rsidRPr="004801AD">
        <w:rPr>
          <w:rFonts w:ascii="Garamond" w:hAnsi="Garamond"/>
          <w:bCs/>
          <w:color w:val="000000" w:themeColor="text1"/>
          <w:sz w:val="28"/>
          <w:szCs w:val="28"/>
        </w:rPr>
        <w:t>y</w:t>
      </w:r>
      <w:r w:rsidR="00747141" w:rsidRPr="004801AD">
        <w:rPr>
          <w:rFonts w:ascii="Garamond" w:hAnsi="Garamond"/>
          <w:color w:val="000000" w:themeColor="text1"/>
          <w:sz w:val="28"/>
          <w:szCs w:val="28"/>
        </w:rPr>
        <w:t xml:space="preserve"> 34 de la ley 23.660 </w:t>
      </w:r>
      <w:r w:rsidR="00747141" w:rsidRPr="004801AD">
        <w:rPr>
          <w:rFonts w:ascii="Garamond" w:hAnsi="Garamond"/>
          <w:bCs/>
          <w:color w:val="000000" w:themeColor="text1"/>
          <w:sz w:val="28"/>
          <w:szCs w:val="28"/>
        </w:rPr>
        <w:t>y</w:t>
      </w:r>
      <w:r w:rsidR="00747141" w:rsidRPr="004801AD">
        <w:rPr>
          <w:rFonts w:ascii="Garamond" w:hAnsi="Garamond"/>
          <w:color w:val="000000" w:themeColor="text1"/>
          <w:sz w:val="28"/>
          <w:szCs w:val="28"/>
        </w:rPr>
        <w:t xml:space="preserve"> art. 2°, párrafo segundo, de la ley 23.661). </w:t>
      </w:r>
    </w:p>
    <w:p w14:paraId="385E7274" w14:textId="2A2B4595" w:rsidR="00747141" w:rsidRPr="004801AD" w:rsidRDefault="00747141" w:rsidP="00E44C90">
      <w:pPr>
        <w:spacing w:line="360" w:lineRule="auto"/>
        <w:ind w:firstLine="708"/>
        <w:jc w:val="both"/>
        <w:rPr>
          <w:rFonts w:ascii="Garamond" w:hAnsi="Garamond"/>
          <w:color w:val="000000" w:themeColor="text1"/>
          <w:sz w:val="28"/>
          <w:szCs w:val="28"/>
        </w:rPr>
      </w:pPr>
      <w:r w:rsidRPr="004801AD">
        <w:rPr>
          <w:rFonts w:ascii="Garamond" w:hAnsi="Garamond"/>
          <w:color w:val="000000" w:themeColor="text1"/>
          <w:sz w:val="28"/>
          <w:szCs w:val="28"/>
        </w:rPr>
        <w:t>Si se demanda a una de las entidades previstas en el art. 1° de la ley 25.587</w:t>
      </w:r>
      <w:r w:rsidRPr="004801AD">
        <w:rPr>
          <w:rStyle w:val="Refdenotaalpie"/>
          <w:rFonts w:ascii="Garamond" w:hAnsi="Garamond"/>
          <w:color w:val="000000" w:themeColor="text1"/>
          <w:sz w:val="28"/>
          <w:szCs w:val="28"/>
        </w:rPr>
        <w:footnoteReference w:id="6"/>
      </w:r>
      <w:r w:rsidRPr="004801AD">
        <w:rPr>
          <w:rFonts w:ascii="Garamond" w:hAnsi="Garamond"/>
          <w:color w:val="000000" w:themeColor="text1"/>
          <w:sz w:val="28"/>
          <w:szCs w:val="28"/>
        </w:rPr>
        <w:t xml:space="preserve"> o a una de éstas con el Estado Nacional -como órgano emisor de las normas- en una relación jurídica entre particulares </w:t>
      </w:r>
      <w:r w:rsidR="00303E9B" w:rsidRPr="004801AD">
        <w:rPr>
          <w:rFonts w:ascii="Garamond" w:hAnsi="Garamond"/>
          <w:color w:val="000000" w:themeColor="text1"/>
          <w:sz w:val="28"/>
          <w:szCs w:val="28"/>
        </w:rPr>
        <w:t xml:space="preserve">y </w:t>
      </w:r>
      <w:r w:rsidRPr="004801AD">
        <w:rPr>
          <w:rFonts w:ascii="Garamond" w:hAnsi="Garamond"/>
          <w:color w:val="000000" w:themeColor="text1"/>
          <w:sz w:val="28"/>
          <w:szCs w:val="28"/>
        </w:rPr>
        <w:t xml:space="preserve">se rige por el derecho </w:t>
      </w:r>
      <w:r w:rsidRPr="004801AD">
        <w:rPr>
          <w:rFonts w:ascii="Garamond" w:hAnsi="Garamond"/>
          <w:color w:val="000000" w:themeColor="text1"/>
          <w:sz w:val="28"/>
          <w:szCs w:val="28"/>
        </w:rPr>
        <w:lastRenderedPageBreak/>
        <w:t xml:space="preserve">privado, la causa corresponde a la </w:t>
      </w:r>
      <w:r w:rsidRPr="004801AD">
        <w:rPr>
          <w:rFonts w:ascii="Garamond" w:hAnsi="Garamond"/>
          <w:bCs/>
          <w:color w:val="000000" w:themeColor="text1"/>
          <w:sz w:val="28"/>
          <w:szCs w:val="28"/>
        </w:rPr>
        <w:t>competencia</w:t>
      </w:r>
      <w:r w:rsidRPr="004801AD">
        <w:rPr>
          <w:rFonts w:ascii="Garamond" w:hAnsi="Garamond"/>
          <w:color w:val="000000" w:themeColor="text1"/>
          <w:sz w:val="28"/>
          <w:szCs w:val="28"/>
        </w:rPr>
        <w:t xml:space="preserve"> del fuero nacional en lo </w:t>
      </w:r>
      <w:r w:rsidRPr="004801AD">
        <w:rPr>
          <w:rFonts w:ascii="Garamond" w:hAnsi="Garamond"/>
          <w:bCs/>
          <w:color w:val="000000" w:themeColor="text1"/>
          <w:sz w:val="28"/>
          <w:szCs w:val="28"/>
        </w:rPr>
        <w:t>civil</w:t>
      </w:r>
      <w:r w:rsidRPr="004801AD">
        <w:rPr>
          <w:rFonts w:ascii="Garamond" w:hAnsi="Garamond"/>
          <w:color w:val="000000" w:themeColor="text1"/>
          <w:sz w:val="28"/>
          <w:szCs w:val="28"/>
        </w:rPr>
        <w:t xml:space="preserve"> </w:t>
      </w:r>
      <w:r w:rsidRPr="004801AD">
        <w:rPr>
          <w:rFonts w:ascii="Garamond" w:hAnsi="Garamond"/>
          <w:bCs/>
          <w:color w:val="000000" w:themeColor="text1"/>
          <w:sz w:val="28"/>
          <w:szCs w:val="28"/>
        </w:rPr>
        <w:t>y</w:t>
      </w:r>
      <w:r w:rsidRPr="004801AD">
        <w:rPr>
          <w:rFonts w:ascii="Garamond" w:hAnsi="Garamond"/>
          <w:color w:val="000000" w:themeColor="text1"/>
          <w:sz w:val="28"/>
          <w:szCs w:val="28"/>
        </w:rPr>
        <w:t xml:space="preserve"> </w:t>
      </w:r>
      <w:r w:rsidRPr="004801AD">
        <w:rPr>
          <w:rFonts w:ascii="Garamond" w:hAnsi="Garamond"/>
          <w:bCs/>
          <w:color w:val="000000" w:themeColor="text1"/>
          <w:sz w:val="28"/>
          <w:szCs w:val="28"/>
        </w:rPr>
        <w:t>comercial</w:t>
      </w:r>
      <w:r w:rsidRPr="004801AD">
        <w:rPr>
          <w:rFonts w:ascii="Garamond" w:hAnsi="Garamond"/>
          <w:color w:val="000000" w:themeColor="text1"/>
          <w:sz w:val="28"/>
          <w:szCs w:val="28"/>
        </w:rPr>
        <w:t xml:space="preserve"> </w:t>
      </w:r>
      <w:r w:rsidRPr="004801AD">
        <w:rPr>
          <w:rFonts w:ascii="Garamond" w:hAnsi="Garamond"/>
          <w:bCs/>
          <w:color w:val="000000" w:themeColor="text1"/>
          <w:sz w:val="28"/>
          <w:szCs w:val="28"/>
        </w:rPr>
        <w:t>federal,</w:t>
      </w:r>
      <w:r w:rsidRPr="004801AD">
        <w:rPr>
          <w:rFonts w:ascii="Garamond" w:hAnsi="Garamond"/>
          <w:color w:val="000000" w:themeColor="text1"/>
          <w:sz w:val="28"/>
          <w:szCs w:val="28"/>
        </w:rPr>
        <w:t xml:space="preserve"> por aplicación de los arts. 1° </w:t>
      </w:r>
      <w:r w:rsidRPr="004801AD">
        <w:rPr>
          <w:rFonts w:ascii="Garamond" w:hAnsi="Garamond"/>
          <w:bCs/>
          <w:color w:val="000000" w:themeColor="text1"/>
          <w:sz w:val="28"/>
          <w:szCs w:val="28"/>
        </w:rPr>
        <w:t>y</w:t>
      </w:r>
      <w:r w:rsidRPr="004801AD">
        <w:rPr>
          <w:rFonts w:ascii="Garamond" w:hAnsi="Garamond"/>
          <w:color w:val="000000" w:themeColor="text1"/>
          <w:sz w:val="28"/>
          <w:szCs w:val="28"/>
        </w:rPr>
        <w:t xml:space="preserve"> 6° de la ley 25.587. </w:t>
      </w:r>
    </w:p>
    <w:p w14:paraId="2086E5EA" w14:textId="1F2D56C1" w:rsidR="00717260" w:rsidRPr="004801AD" w:rsidRDefault="006D59DB" w:rsidP="00717260">
      <w:pPr>
        <w:spacing w:line="360" w:lineRule="auto"/>
        <w:ind w:firstLine="708"/>
        <w:jc w:val="both"/>
        <w:rPr>
          <w:rFonts w:ascii="Garamond" w:hAnsi="Garamond"/>
          <w:sz w:val="28"/>
          <w:szCs w:val="28"/>
        </w:rPr>
      </w:pPr>
      <w:r w:rsidRPr="004801AD">
        <w:rPr>
          <w:rFonts w:ascii="Garamond" w:hAnsi="Garamond"/>
          <w:color w:val="000000" w:themeColor="text1"/>
          <w:sz w:val="28"/>
          <w:szCs w:val="28"/>
        </w:rPr>
        <w:t>Otras de las competencias tradicion</w:t>
      </w:r>
      <w:r w:rsidR="00717260" w:rsidRPr="004801AD">
        <w:rPr>
          <w:rFonts w:ascii="Garamond" w:hAnsi="Garamond"/>
          <w:color w:val="000000" w:themeColor="text1"/>
          <w:sz w:val="28"/>
          <w:szCs w:val="28"/>
        </w:rPr>
        <w:t>al</w:t>
      </w:r>
      <w:r w:rsidRPr="004801AD">
        <w:rPr>
          <w:rFonts w:ascii="Garamond" w:hAnsi="Garamond"/>
          <w:color w:val="000000" w:themeColor="text1"/>
          <w:sz w:val="28"/>
          <w:szCs w:val="28"/>
        </w:rPr>
        <w:t xml:space="preserve">es del fuero </w:t>
      </w:r>
      <w:r w:rsidR="00717260" w:rsidRPr="004801AD">
        <w:rPr>
          <w:rFonts w:ascii="Garamond" w:hAnsi="Garamond"/>
          <w:color w:val="000000" w:themeColor="text1"/>
          <w:sz w:val="28"/>
          <w:szCs w:val="28"/>
        </w:rPr>
        <w:t xml:space="preserve">son </w:t>
      </w:r>
      <w:r w:rsidRPr="004801AD">
        <w:rPr>
          <w:rFonts w:ascii="Garamond" w:hAnsi="Garamond"/>
          <w:color w:val="000000" w:themeColor="text1"/>
          <w:sz w:val="28"/>
          <w:szCs w:val="28"/>
        </w:rPr>
        <w:t xml:space="preserve">las </w:t>
      </w:r>
      <w:r w:rsidR="00C346ED" w:rsidRPr="004801AD">
        <w:rPr>
          <w:rFonts w:ascii="Garamond" w:hAnsi="Garamond"/>
          <w:color w:val="000000" w:themeColor="text1"/>
          <w:sz w:val="28"/>
          <w:szCs w:val="28"/>
        </w:rPr>
        <w:t>cuestiones</w:t>
      </w:r>
      <w:r w:rsidRPr="004801AD">
        <w:rPr>
          <w:rFonts w:ascii="Garamond" w:hAnsi="Garamond"/>
          <w:color w:val="000000" w:themeColor="text1"/>
          <w:sz w:val="28"/>
          <w:szCs w:val="28"/>
        </w:rPr>
        <w:t xml:space="preserve"> atinentes a marcas y </w:t>
      </w:r>
      <w:r w:rsidR="00C346ED" w:rsidRPr="004801AD">
        <w:rPr>
          <w:rFonts w:ascii="Garamond" w:hAnsi="Garamond"/>
          <w:color w:val="000000" w:themeColor="text1"/>
          <w:sz w:val="28"/>
          <w:szCs w:val="28"/>
        </w:rPr>
        <w:t>patentes</w:t>
      </w:r>
      <w:r w:rsidRPr="004801AD">
        <w:rPr>
          <w:rFonts w:ascii="Garamond" w:hAnsi="Garamond"/>
          <w:color w:val="000000" w:themeColor="text1"/>
          <w:sz w:val="28"/>
          <w:szCs w:val="28"/>
        </w:rPr>
        <w:t xml:space="preserve">. </w:t>
      </w:r>
      <w:r w:rsidR="00BD3B8A" w:rsidRPr="004801AD">
        <w:rPr>
          <w:rFonts w:ascii="Garamond" w:hAnsi="Garamond"/>
          <w:color w:val="000000" w:themeColor="text1"/>
          <w:sz w:val="28"/>
          <w:szCs w:val="28"/>
        </w:rPr>
        <w:t>En cuanto a la</w:t>
      </w:r>
      <w:r w:rsidR="00F21AA3">
        <w:rPr>
          <w:rFonts w:ascii="Garamond" w:hAnsi="Garamond"/>
          <w:color w:val="000000" w:themeColor="text1"/>
          <w:sz w:val="28"/>
          <w:szCs w:val="28"/>
        </w:rPr>
        <w:t xml:space="preserve"> primera</w:t>
      </w:r>
      <w:r w:rsidRPr="004801AD">
        <w:rPr>
          <w:rFonts w:ascii="Garamond" w:hAnsi="Garamond"/>
          <w:color w:val="000000" w:themeColor="text1"/>
          <w:sz w:val="28"/>
          <w:szCs w:val="28"/>
        </w:rPr>
        <w:t xml:space="preserve">, </w:t>
      </w:r>
      <w:r w:rsidR="00BD3B8A" w:rsidRPr="004801AD">
        <w:rPr>
          <w:rFonts w:ascii="Garamond" w:hAnsi="Garamond"/>
          <w:color w:val="000000" w:themeColor="text1"/>
          <w:sz w:val="28"/>
          <w:szCs w:val="28"/>
        </w:rPr>
        <w:t xml:space="preserve"> regidos </w:t>
      </w:r>
      <w:r w:rsidR="00313AB2">
        <w:rPr>
          <w:rFonts w:ascii="Garamond" w:hAnsi="Garamond"/>
          <w:color w:val="000000" w:themeColor="text1"/>
          <w:sz w:val="28"/>
          <w:szCs w:val="28"/>
        </w:rPr>
        <w:t>principalmente por la ley 22362</w:t>
      </w:r>
      <w:r w:rsidR="00313AB2">
        <w:rPr>
          <w:rStyle w:val="Refdenotaalpie"/>
          <w:color w:val="000000" w:themeColor="text1"/>
          <w:sz w:val="28"/>
          <w:szCs w:val="28"/>
        </w:rPr>
        <w:footnoteReference w:id="7"/>
      </w:r>
      <w:r w:rsidRPr="004801AD">
        <w:rPr>
          <w:rFonts w:ascii="Garamond" w:hAnsi="Garamond"/>
          <w:color w:val="000000" w:themeColor="text1"/>
          <w:sz w:val="28"/>
          <w:szCs w:val="28"/>
        </w:rPr>
        <w:t xml:space="preserve">,  </w:t>
      </w:r>
      <w:r w:rsidR="00BD3B8A" w:rsidRPr="004801AD">
        <w:rPr>
          <w:rFonts w:ascii="Garamond" w:hAnsi="Garamond"/>
          <w:color w:val="000000" w:themeColor="text1"/>
          <w:sz w:val="28"/>
          <w:szCs w:val="28"/>
        </w:rPr>
        <w:t>debemos decir que a partir de la</w:t>
      </w:r>
      <w:r w:rsidRPr="004801AD">
        <w:rPr>
          <w:rFonts w:ascii="Garamond" w:hAnsi="Garamond"/>
          <w:sz w:val="28"/>
          <w:szCs w:val="28"/>
        </w:rPr>
        <w:t xml:space="preserve"> ley</w:t>
      </w:r>
      <w:r w:rsidR="00F21AA3">
        <w:rPr>
          <w:rFonts w:ascii="Garamond" w:hAnsi="Garamond"/>
          <w:sz w:val="28"/>
          <w:szCs w:val="28"/>
        </w:rPr>
        <w:t xml:space="preserve"> 27444</w:t>
      </w:r>
      <w:r w:rsidR="00F21AA3">
        <w:rPr>
          <w:rStyle w:val="Refdenotaalpie"/>
          <w:sz w:val="28"/>
          <w:szCs w:val="28"/>
        </w:rPr>
        <w:footnoteReference w:id="8"/>
      </w:r>
      <w:r w:rsidR="00717260" w:rsidRPr="004801AD">
        <w:rPr>
          <w:rFonts w:ascii="Garamond" w:hAnsi="Garamond"/>
          <w:sz w:val="28"/>
          <w:szCs w:val="28"/>
        </w:rPr>
        <w:t xml:space="preserve"> </w:t>
      </w:r>
      <w:r w:rsidR="00313AB2">
        <w:rPr>
          <w:rFonts w:ascii="Garamond" w:hAnsi="Garamond"/>
          <w:sz w:val="28"/>
          <w:szCs w:val="28"/>
        </w:rPr>
        <w:t>las</w:t>
      </w:r>
      <w:r w:rsidR="00717260" w:rsidRPr="004801AD">
        <w:rPr>
          <w:rFonts w:ascii="Garamond" w:hAnsi="Garamond"/>
          <w:sz w:val="28"/>
          <w:szCs w:val="28"/>
        </w:rPr>
        <w:t xml:space="preserve"> temáticas que antes eran resueltas por los juzgados de primera instancias civil y comercial </w:t>
      </w:r>
      <w:r w:rsidR="00C346ED" w:rsidRPr="004801AD">
        <w:rPr>
          <w:rFonts w:ascii="Garamond" w:hAnsi="Garamond"/>
          <w:sz w:val="28"/>
          <w:szCs w:val="28"/>
        </w:rPr>
        <w:t>serán</w:t>
      </w:r>
      <w:r w:rsidR="00717260" w:rsidRPr="004801AD">
        <w:rPr>
          <w:rFonts w:ascii="Garamond" w:hAnsi="Garamond"/>
          <w:sz w:val="28"/>
          <w:szCs w:val="28"/>
        </w:rPr>
        <w:t xml:space="preserve"> resueltas por la Dirección Nacional de Marcas con recurso directo ante la </w:t>
      </w:r>
      <w:r w:rsidR="00C346ED" w:rsidRPr="004801AD">
        <w:rPr>
          <w:rFonts w:ascii="Garamond" w:hAnsi="Garamond"/>
          <w:sz w:val="28"/>
          <w:szCs w:val="28"/>
        </w:rPr>
        <w:t>Cámara</w:t>
      </w:r>
      <w:r w:rsidR="00717260" w:rsidRPr="004801AD">
        <w:rPr>
          <w:rFonts w:ascii="Garamond" w:hAnsi="Garamond"/>
          <w:sz w:val="28"/>
          <w:szCs w:val="28"/>
        </w:rPr>
        <w:t xml:space="preserve"> Federal del fuero, </w:t>
      </w:r>
      <w:r w:rsidR="00C346ED" w:rsidRPr="004801AD">
        <w:rPr>
          <w:rFonts w:ascii="Garamond" w:hAnsi="Garamond"/>
          <w:sz w:val="28"/>
          <w:szCs w:val="28"/>
        </w:rPr>
        <w:t>así</w:t>
      </w:r>
      <w:r w:rsidR="00717260" w:rsidRPr="004801AD">
        <w:rPr>
          <w:rFonts w:ascii="Garamond" w:hAnsi="Garamond"/>
          <w:sz w:val="28"/>
          <w:szCs w:val="28"/>
        </w:rPr>
        <w:t xml:space="preserve"> se encuentra regulado en el </w:t>
      </w:r>
      <w:r w:rsidR="00C346ED" w:rsidRPr="004801AD">
        <w:rPr>
          <w:rFonts w:ascii="Garamond" w:hAnsi="Garamond"/>
          <w:sz w:val="28"/>
          <w:szCs w:val="28"/>
        </w:rPr>
        <w:t>artículo</w:t>
      </w:r>
      <w:r w:rsidR="00717260" w:rsidRPr="004801AD">
        <w:rPr>
          <w:rFonts w:ascii="Garamond" w:hAnsi="Garamond"/>
          <w:sz w:val="28"/>
          <w:szCs w:val="28"/>
        </w:rPr>
        <w:t xml:space="preserve"> 17 de la ley 27444 cuando en el caso de oposición marcaria la resolución de la Dirección Nacional de Marcas </w:t>
      </w:r>
      <w:r w:rsidR="00BD3B8A" w:rsidRPr="004801AD">
        <w:rPr>
          <w:rFonts w:ascii="Garamond" w:hAnsi="Garamond"/>
          <w:sz w:val="28"/>
          <w:szCs w:val="28"/>
        </w:rPr>
        <w:t>serán sólo susceptibles de recurso directo de apelación ante la Cámara Nacional de Apelaciones en lo Civil y Comercial Federal dentro de los treinta (30) días hábiles de su notificación. El recurso deberá presentarse en el Instituto Nacional de la Propiedad Industrial, quien lo remitirá a la justicia en las condiciones que fije la reglamentación.</w:t>
      </w:r>
    </w:p>
    <w:p w14:paraId="156D8E2F" w14:textId="45FB041F" w:rsidR="006D59DB" w:rsidRPr="004801AD" w:rsidRDefault="00717260" w:rsidP="006A3B82">
      <w:pPr>
        <w:spacing w:line="360" w:lineRule="auto"/>
        <w:ind w:firstLine="708"/>
        <w:jc w:val="both"/>
        <w:rPr>
          <w:rFonts w:ascii="Garamond" w:hAnsi="Garamond"/>
          <w:sz w:val="28"/>
          <w:szCs w:val="28"/>
        </w:rPr>
      </w:pPr>
      <w:r w:rsidRPr="004801AD">
        <w:rPr>
          <w:rFonts w:ascii="Garamond" w:hAnsi="Garamond"/>
          <w:sz w:val="28"/>
          <w:szCs w:val="28"/>
        </w:rPr>
        <w:t xml:space="preserve">Por su parte la cuestiones de patentes además de la ley 24481 que regula actual la materia, deberá incluirse entre las normativas una gran variedad de </w:t>
      </w:r>
      <w:r w:rsidR="00313AB2" w:rsidRPr="004801AD">
        <w:rPr>
          <w:rFonts w:ascii="Garamond" w:hAnsi="Garamond"/>
          <w:sz w:val="28"/>
          <w:szCs w:val="28"/>
        </w:rPr>
        <w:t>Tratados Internacionales</w:t>
      </w:r>
      <w:r w:rsidRPr="004801AD">
        <w:rPr>
          <w:rFonts w:ascii="Garamond" w:hAnsi="Garamond"/>
          <w:sz w:val="28"/>
          <w:szCs w:val="28"/>
        </w:rPr>
        <w:t xml:space="preserve">, tales </w:t>
      </w:r>
      <w:r w:rsidR="006D59DB" w:rsidRPr="004801AD">
        <w:rPr>
          <w:rFonts w:ascii="Garamond" w:hAnsi="Garamond"/>
          <w:sz w:val="28"/>
          <w:szCs w:val="28"/>
        </w:rPr>
        <w:t>el Convenio de París para la Protección de la Propiedad Industrial, del 20 de marzo de 1883</w:t>
      </w:r>
      <w:r w:rsidRPr="004801AD">
        <w:rPr>
          <w:rFonts w:ascii="Garamond" w:hAnsi="Garamond"/>
          <w:sz w:val="28"/>
          <w:szCs w:val="28"/>
        </w:rPr>
        <w:t xml:space="preserve"> ratificado por la Ley Nº 17.011</w:t>
      </w:r>
      <w:r w:rsidR="006D59DB" w:rsidRPr="004801AD">
        <w:rPr>
          <w:rFonts w:ascii="Garamond" w:hAnsi="Garamond"/>
          <w:sz w:val="28"/>
          <w:szCs w:val="28"/>
        </w:rPr>
        <w:t>, revisado en Bruselas el 14 de diciembre de 1900, en Washington el 2 de junio de 1911, en La Haya el 6 de noviembre de 1925, en Londres el 2 de junio de 1934, en Lisboa el 31 de octubre de 1958 y en Estocolmo el 14 de julio de 1967.</w:t>
      </w:r>
      <w:r w:rsidR="006A3B82" w:rsidRPr="004801AD">
        <w:rPr>
          <w:rFonts w:ascii="Garamond" w:hAnsi="Garamond"/>
          <w:sz w:val="28"/>
          <w:szCs w:val="28"/>
        </w:rPr>
        <w:t xml:space="preserve"> </w:t>
      </w:r>
      <w:r w:rsidR="00C346ED" w:rsidRPr="004801AD">
        <w:rPr>
          <w:rFonts w:ascii="Garamond" w:hAnsi="Garamond"/>
          <w:sz w:val="28"/>
          <w:szCs w:val="28"/>
        </w:rPr>
        <w:t>Además</w:t>
      </w:r>
      <w:r w:rsidR="006A3B82" w:rsidRPr="004801AD">
        <w:rPr>
          <w:rFonts w:ascii="Garamond" w:hAnsi="Garamond"/>
          <w:sz w:val="28"/>
          <w:szCs w:val="28"/>
        </w:rPr>
        <w:t xml:space="preserve"> tenemos la l</w:t>
      </w:r>
      <w:r w:rsidR="006D59DB" w:rsidRPr="004801AD">
        <w:rPr>
          <w:rFonts w:ascii="Garamond" w:hAnsi="Garamond"/>
          <w:sz w:val="28"/>
          <w:szCs w:val="28"/>
        </w:rPr>
        <w:t xml:space="preserve">ey Nº 24.425 </w:t>
      </w:r>
      <w:r w:rsidR="006A3B82" w:rsidRPr="004801AD">
        <w:rPr>
          <w:rFonts w:ascii="Garamond" w:hAnsi="Garamond"/>
          <w:sz w:val="28"/>
          <w:szCs w:val="28"/>
        </w:rPr>
        <w:t xml:space="preserve">que </w:t>
      </w:r>
      <w:r w:rsidR="006D59DB" w:rsidRPr="004801AD">
        <w:rPr>
          <w:rFonts w:ascii="Garamond" w:hAnsi="Garamond"/>
          <w:sz w:val="28"/>
          <w:szCs w:val="28"/>
        </w:rPr>
        <w:t xml:space="preserve">aprobó el Acta Final en que se incorporan los resultados de la Ronda Uruguay de Negociaciones Comerciales Multilaterales, y las Decisiones, Declaraciones y Entendimientos Ministeriales y el Acuerdo de Marrakech por el que se establece la </w:t>
      </w:r>
      <w:r w:rsidR="00C346ED" w:rsidRPr="004801AD">
        <w:rPr>
          <w:rFonts w:ascii="Garamond" w:hAnsi="Garamond"/>
          <w:sz w:val="28"/>
          <w:szCs w:val="28"/>
        </w:rPr>
        <w:t>Organización</w:t>
      </w:r>
      <w:r w:rsidR="006A3B82" w:rsidRPr="004801AD">
        <w:rPr>
          <w:rFonts w:ascii="Garamond" w:hAnsi="Garamond"/>
          <w:sz w:val="28"/>
          <w:szCs w:val="28"/>
        </w:rPr>
        <w:t xml:space="preserve"> Mundial Del Comercio,</w:t>
      </w:r>
      <w:r w:rsidR="006D59DB" w:rsidRPr="004801AD">
        <w:rPr>
          <w:rFonts w:ascii="Garamond" w:hAnsi="Garamond"/>
          <w:sz w:val="28"/>
          <w:szCs w:val="28"/>
        </w:rPr>
        <w:t xml:space="preserve"> y sus Anexos, entre ellos el </w:t>
      </w:r>
      <w:r w:rsidR="006A3B82" w:rsidRPr="004801AD">
        <w:rPr>
          <w:rFonts w:ascii="Garamond" w:hAnsi="Garamond"/>
          <w:sz w:val="28"/>
          <w:szCs w:val="28"/>
        </w:rPr>
        <w:t xml:space="preserve">Acuerdo Sobre Los Aspectos De </w:t>
      </w:r>
      <w:r w:rsidR="006A3B82" w:rsidRPr="004801AD">
        <w:rPr>
          <w:rFonts w:ascii="Garamond" w:hAnsi="Garamond"/>
          <w:sz w:val="28"/>
          <w:szCs w:val="28"/>
        </w:rPr>
        <w:lastRenderedPageBreak/>
        <w:t xml:space="preserve">Los Derechos De Propiedad Intelectual Relacionados Con El Comercio </w:t>
      </w:r>
      <w:r w:rsidR="006D59DB" w:rsidRPr="004801AD">
        <w:rPr>
          <w:rFonts w:ascii="Garamond" w:hAnsi="Garamond"/>
          <w:sz w:val="28"/>
          <w:szCs w:val="28"/>
        </w:rPr>
        <w:t>(en adelante "el Acuerdo").</w:t>
      </w:r>
    </w:p>
    <w:p w14:paraId="34E74BF6" w14:textId="77777777" w:rsidR="006D59DB" w:rsidRPr="004801AD" w:rsidRDefault="006D59DB" w:rsidP="00E44C90">
      <w:pPr>
        <w:spacing w:line="360" w:lineRule="auto"/>
        <w:ind w:firstLine="708"/>
        <w:jc w:val="both"/>
        <w:rPr>
          <w:rFonts w:ascii="Garamond" w:hAnsi="Garamond"/>
          <w:color w:val="000000" w:themeColor="text1"/>
          <w:sz w:val="28"/>
          <w:szCs w:val="28"/>
          <w:lang w:val="es-AR"/>
        </w:rPr>
      </w:pPr>
    </w:p>
    <w:p w14:paraId="547E48C7" w14:textId="4376B9C7" w:rsidR="002E4C53" w:rsidRPr="004801AD" w:rsidRDefault="00C346ED" w:rsidP="00566F70">
      <w:pPr>
        <w:pStyle w:val="Ttulo1"/>
        <w:numPr>
          <w:ilvl w:val="0"/>
          <w:numId w:val="3"/>
        </w:numPr>
        <w:spacing w:line="360" w:lineRule="auto"/>
        <w:ind w:left="709"/>
        <w:jc w:val="both"/>
        <w:rPr>
          <w:szCs w:val="28"/>
          <w:lang w:eastAsia="es-ES"/>
        </w:rPr>
      </w:pPr>
      <w:bookmarkStart w:id="7" w:name="_Toc18145334"/>
      <w:bookmarkStart w:id="8" w:name="_Toc19113551"/>
      <w:r w:rsidRPr="004801AD">
        <w:rPr>
          <w:szCs w:val="28"/>
          <w:lang w:eastAsia="es-ES"/>
        </w:rPr>
        <w:t>Estadística</w:t>
      </w:r>
      <w:r w:rsidR="002E4C53" w:rsidRPr="004801AD">
        <w:rPr>
          <w:szCs w:val="28"/>
          <w:lang w:eastAsia="es-ES"/>
        </w:rPr>
        <w:t xml:space="preserve"> del fuero</w:t>
      </w:r>
      <w:bookmarkEnd w:id="8"/>
    </w:p>
    <w:p w14:paraId="600606FB" w14:textId="77777777" w:rsidR="002E4C53" w:rsidRPr="004801AD" w:rsidRDefault="002E4C53" w:rsidP="002E4C53">
      <w:pPr>
        <w:rPr>
          <w:rFonts w:ascii="Garamond" w:hAnsi="Garamond"/>
          <w:sz w:val="28"/>
          <w:szCs w:val="28"/>
          <w:lang w:eastAsia="es-ES"/>
        </w:rPr>
      </w:pPr>
    </w:p>
    <w:p w14:paraId="66B096B7" w14:textId="68BEB1CC" w:rsidR="002E4C53" w:rsidRPr="004801AD" w:rsidRDefault="002E4C53" w:rsidP="003259A1">
      <w:pPr>
        <w:spacing w:line="360" w:lineRule="auto"/>
        <w:ind w:firstLine="708"/>
        <w:jc w:val="both"/>
        <w:rPr>
          <w:rFonts w:ascii="Garamond" w:hAnsi="Garamond"/>
          <w:sz w:val="28"/>
          <w:szCs w:val="28"/>
          <w:lang w:eastAsia="es-ES"/>
        </w:rPr>
      </w:pPr>
      <w:r w:rsidRPr="004801AD">
        <w:rPr>
          <w:rFonts w:ascii="Garamond" w:hAnsi="Garamond"/>
          <w:sz w:val="28"/>
          <w:szCs w:val="28"/>
          <w:lang w:eastAsia="es-ES"/>
        </w:rPr>
        <w:t xml:space="preserve">De una somera visión del punto anterior, podemos pensar que la mayoría de los expedientes que ostenta el fuero civil y comercial federal  pertenecen a las competencias </w:t>
      </w:r>
      <w:r w:rsidR="00C346ED" w:rsidRPr="004801AD">
        <w:rPr>
          <w:rFonts w:ascii="Garamond" w:hAnsi="Garamond"/>
          <w:sz w:val="28"/>
          <w:szCs w:val="28"/>
          <w:lang w:eastAsia="es-ES"/>
        </w:rPr>
        <w:t>tradicionales</w:t>
      </w:r>
      <w:r w:rsidRPr="004801AD">
        <w:rPr>
          <w:rFonts w:ascii="Garamond" w:hAnsi="Garamond"/>
          <w:sz w:val="28"/>
          <w:szCs w:val="28"/>
          <w:lang w:eastAsia="es-ES"/>
        </w:rPr>
        <w:t>, es decir, derecho marítimo</w:t>
      </w:r>
      <w:r w:rsidR="004801AD" w:rsidRPr="004801AD">
        <w:rPr>
          <w:rFonts w:ascii="Garamond" w:hAnsi="Garamond"/>
          <w:sz w:val="28"/>
          <w:szCs w:val="28"/>
          <w:lang w:eastAsia="es-ES"/>
        </w:rPr>
        <w:t xml:space="preserve">, </w:t>
      </w:r>
      <w:r w:rsidRPr="004801AD">
        <w:rPr>
          <w:rFonts w:ascii="Garamond" w:hAnsi="Garamond"/>
          <w:sz w:val="28"/>
          <w:szCs w:val="28"/>
          <w:lang w:eastAsia="es-ES"/>
        </w:rPr>
        <w:t>aeronáutico</w:t>
      </w:r>
      <w:r w:rsidR="004801AD" w:rsidRPr="004801AD">
        <w:rPr>
          <w:rFonts w:ascii="Garamond" w:hAnsi="Garamond"/>
          <w:sz w:val="28"/>
          <w:szCs w:val="28"/>
          <w:lang w:eastAsia="es-ES"/>
        </w:rPr>
        <w:t xml:space="preserve">, </w:t>
      </w:r>
      <w:r w:rsidR="00C346ED" w:rsidRPr="004801AD">
        <w:rPr>
          <w:rFonts w:ascii="Garamond" w:hAnsi="Garamond"/>
          <w:sz w:val="28"/>
          <w:szCs w:val="28"/>
          <w:lang w:eastAsia="es-ES"/>
        </w:rPr>
        <w:t>patentes</w:t>
      </w:r>
      <w:r w:rsidRPr="004801AD">
        <w:rPr>
          <w:rFonts w:ascii="Garamond" w:hAnsi="Garamond"/>
          <w:sz w:val="28"/>
          <w:szCs w:val="28"/>
          <w:lang w:eastAsia="es-ES"/>
        </w:rPr>
        <w:t xml:space="preserve"> y marcas, pero la realidad nos indica lo contrario. </w:t>
      </w:r>
    </w:p>
    <w:p w14:paraId="174D0AAD" w14:textId="60A54417" w:rsidR="002E4C53" w:rsidRPr="004801AD" w:rsidRDefault="002E4C53" w:rsidP="003259A1">
      <w:pPr>
        <w:spacing w:line="360" w:lineRule="auto"/>
        <w:ind w:firstLine="708"/>
        <w:jc w:val="both"/>
        <w:rPr>
          <w:rFonts w:ascii="Garamond" w:hAnsi="Garamond"/>
          <w:sz w:val="28"/>
          <w:szCs w:val="28"/>
          <w:lang w:eastAsia="es-ES"/>
        </w:rPr>
      </w:pPr>
      <w:r w:rsidRPr="004801AD">
        <w:rPr>
          <w:rFonts w:ascii="Garamond" w:hAnsi="Garamond"/>
          <w:sz w:val="28"/>
          <w:szCs w:val="28"/>
          <w:lang w:eastAsia="es-ES"/>
        </w:rPr>
        <w:t xml:space="preserve">Las materias tradicionales pasaron a pertenecer a una minoría y la gran mayoría de causas del fuero </w:t>
      </w:r>
      <w:r w:rsidR="00C346ED" w:rsidRPr="004801AD">
        <w:rPr>
          <w:rFonts w:ascii="Garamond" w:hAnsi="Garamond"/>
          <w:sz w:val="28"/>
          <w:szCs w:val="28"/>
          <w:lang w:eastAsia="es-ES"/>
        </w:rPr>
        <w:t>pasó</w:t>
      </w:r>
      <w:r w:rsidRPr="004801AD">
        <w:rPr>
          <w:rFonts w:ascii="Garamond" w:hAnsi="Garamond"/>
          <w:sz w:val="28"/>
          <w:szCs w:val="28"/>
          <w:lang w:eastAsia="es-ES"/>
        </w:rPr>
        <w:t xml:space="preserve"> a ser de materias que si bien no son nuevas han crecido exponencialmente de un modo que se han transformado en la</w:t>
      </w:r>
      <w:r w:rsidR="00313AB2">
        <w:rPr>
          <w:rFonts w:ascii="Garamond" w:hAnsi="Garamond"/>
          <w:sz w:val="28"/>
          <w:szCs w:val="28"/>
          <w:lang w:eastAsia="es-ES"/>
        </w:rPr>
        <w:t xml:space="preserve"> </w:t>
      </w:r>
      <w:r w:rsidRPr="004801AD">
        <w:rPr>
          <w:rFonts w:ascii="Garamond" w:hAnsi="Garamond"/>
          <w:sz w:val="28"/>
          <w:szCs w:val="28"/>
          <w:lang w:eastAsia="es-ES"/>
        </w:rPr>
        <w:t xml:space="preserve">mayoría del fuero. </w:t>
      </w:r>
    </w:p>
    <w:p w14:paraId="70FBF49C" w14:textId="3F320F7B" w:rsidR="004801AD" w:rsidRPr="004801AD" w:rsidRDefault="002E4C53" w:rsidP="003259A1">
      <w:pPr>
        <w:spacing w:line="360" w:lineRule="auto"/>
        <w:ind w:firstLine="708"/>
        <w:jc w:val="both"/>
        <w:rPr>
          <w:rFonts w:ascii="Garamond" w:hAnsi="Garamond"/>
          <w:sz w:val="28"/>
          <w:szCs w:val="28"/>
          <w:lang w:eastAsia="es-ES"/>
        </w:rPr>
      </w:pPr>
      <w:r w:rsidRPr="004801AD">
        <w:rPr>
          <w:rFonts w:ascii="Garamond" w:hAnsi="Garamond"/>
          <w:sz w:val="28"/>
          <w:szCs w:val="28"/>
          <w:lang w:eastAsia="es-ES"/>
        </w:rPr>
        <w:t xml:space="preserve">Si tomamos la cantidad de expedientes ingresados entre los años 2010 </w:t>
      </w:r>
      <w:r w:rsidR="00484F9C" w:rsidRPr="004801AD">
        <w:rPr>
          <w:rFonts w:ascii="Garamond" w:hAnsi="Garamond"/>
          <w:sz w:val="28"/>
          <w:szCs w:val="28"/>
          <w:lang w:eastAsia="es-ES"/>
        </w:rPr>
        <w:t xml:space="preserve">y el 2018, vemos que en el año 2010 hubo 1560 causas sobre el </w:t>
      </w:r>
      <w:r w:rsidR="004801AD" w:rsidRPr="004801AD">
        <w:rPr>
          <w:rFonts w:ascii="Garamond" w:hAnsi="Garamond"/>
          <w:sz w:val="28"/>
          <w:szCs w:val="28"/>
          <w:lang w:eastAsia="es-ES"/>
        </w:rPr>
        <w:t xml:space="preserve">Derecho de Salud </w:t>
      </w:r>
      <w:r w:rsidR="00484F9C" w:rsidRPr="004801AD">
        <w:rPr>
          <w:rFonts w:ascii="Garamond" w:hAnsi="Garamond"/>
          <w:sz w:val="28"/>
          <w:szCs w:val="28"/>
          <w:lang w:eastAsia="es-ES"/>
        </w:rPr>
        <w:t xml:space="preserve">(amparo y sumarísimo) con un porcentaje del 17,94 %, </w:t>
      </w:r>
      <w:r w:rsidR="004801AD" w:rsidRPr="004801AD">
        <w:rPr>
          <w:rFonts w:ascii="Garamond" w:hAnsi="Garamond"/>
          <w:sz w:val="28"/>
          <w:szCs w:val="28"/>
          <w:lang w:eastAsia="es-ES"/>
        </w:rPr>
        <w:t xml:space="preserve">y </w:t>
      </w:r>
      <w:r w:rsidR="00313AB2">
        <w:rPr>
          <w:rFonts w:ascii="Garamond" w:hAnsi="Garamond"/>
          <w:sz w:val="28"/>
          <w:szCs w:val="28"/>
          <w:lang w:eastAsia="es-ES"/>
        </w:rPr>
        <w:t xml:space="preserve">sobre </w:t>
      </w:r>
      <w:r w:rsidR="004801AD" w:rsidRPr="004801AD">
        <w:rPr>
          <w:rFonts w:ascii="Garamond" w:hAnsi="Garamond"/>
          <w:sz w:val="28"/>
          <w:szCs w:val="28"/>
          <w:lang w:eastAsia="es-ES"/>
        </w:rPr>
        <w:t xml:space="preserve">Cartas de Ciudadanía </w:t>
      </w:r>
      <w:r w:rsidR="00484F9C" w:rsidRPr="004801AD">
        <w:rPr>
          <w:rFonts w:ascii="Garamond" w:hAnsi="Garamond"/>
          <w:sz w:val="28"/>
          <w:szCs w:val="28"/>
          <w:lang w:eastAsia="es-ES"/>
        </w:rPr>
        <w:t xml:space="preserve">1368 presentaciones equivalente al 9,80%, </w:t>
      </w:r>
      <w:r w:rsidR="00461242" w:rsidRPr="004801AD">
        <w:rPr>
          <w:rFonts w:ascii="Garamond" w:hAnsi="Garamond"/>
          <w:sz w:val="28"/>
          <w:szCs w:val="28"/>
          <w:lang w:eastAsia="es-ES"/>
        </w:rPr>
        <w:t xml:space="preserve">teniendo el fuero en dicho año </w:t>
      </w:r>
      <w:r w:rsidR="004801AD" w:rsidRPr="004801AD">
        <w:rPr>
          <w:rFonts w:ascii="Garamond" w:hAnsi="Garamond"/>
          <w:sz w:val="28"/>
          <w:szCs w:val="28"/>
          <w:lang w:eastAsia="es-ES"/>
        </w:rPr>
        <w:t xml:space="preserve">un </w:t>
      </w:r>
      <w:r w:rsidR="00461242" w:rsidRPr="004801AD">
        <w:rPr>
          <w:rFonts w:ascii="Garamond" w:hAnsi="Garamond"/>
          <w:sz w:val="28"/>
          <w:szCs w:val="28"/>
          <w:lang w:eastAsia="es-ES"/>
        </w:rPr>
        <w:t xml:space="preserve">27,74% de causas entre cuestiones de salud y carta de ciudadanía. </w:t>
      </w:r>
    </w:p>
    <w:p w14:paraId="65B26D70" w14:textId="2D9DED5B" w:rsidR="002E4C53" w:rsidRDefault="00313AB2" w:rsidP="003259A1">
      <w:pPr>
        <w:spacing w:line="360" w:lineRule="auto"/>
        <w:ind w:firstLine="708"/>
        <w:jc w:val="both"/>
        <w:rPr>
          <w:rFonts w:ascii="Garamond" w:hAnsi="Garamond"/>
          <w:sz w:val="28"/>
          <w:szCs w:val="28"/>
          <w:lang w:eastAsia="es-ES"/>
        </w:rPr>
      </w:pPr>
      <w:r>
        <w:rPr>
          <w:rFonts w:ascii="Garamond" w:hAnsi="Garamond"/>
          <w:sz w:val="28"/>
          <w:szCs w:val="28"/>
          <w:lang w:eastAsia="es-ES"/>
        </w:rPr>
        <w:t xml:space="preserve">Y en el año 2018 </w:t>
      </w:r>
      <w:r w:rsidR="00461242" w:rsidRPr="004801AD">
        <w:rPr>
          <w:rFonts w:ascii="Garamond" w:hAnsi="Garamond"/>
          <w:sz w:val="28"/>
          <w:szCs w:val="28"/>
          <w:lang w:eastAsia="es-ES"/>
        </w:rPr>
        <w:t>ese porcentaje ha variado sustancialmente</w:t>
      </w:r>
      <w:r w:rsidR="004801AD" w:rsidRPr="004801AD">
        <w:rPr>
          <w:rFonts w:ascii="Garamond" w:hAnsi="Garamond"/>
          <w:sz w:val="28"/>
          <w:szCs w:val="28"/>
          <w:lang w:eastAsia="es-ES"/>
        </w:rPr>
        <w:t>,</w:t>
      </w:r>
      <w:r w:rsidR="00461242" w:rsidRPr="004801AD">
        <w:rPr>
          <w:rFonts w:ascii="Garamond" w:hAnsi="Garamond"/>
          <w:sz w:val="28"/>
          <w:szCs w:val="28"/>
          <w:lang w:eastAsia="es-ES"/>
        </w:rPr>
        <w:t xml:space="preserve"> atento que</w:t>
      </w:r>
      <w:r>
        <w:rPr>
          <w:rFonts w:ascii="Garamond" w:hAnsi="Garamond"/>
          <w:sz w:val="28"/>
          <w:szCs w:val="28"/>
          <w:lang w:eastAsia="es-ES"/>
        </w:rPr>
        <w:t xml:space="preserve"> se han presentado </w:t>
      </w:r>
      <w:r w:rsidR="00461242" w:rsidRPr="004801AD">
        <w:rPr>
          <w:rFonts w:ascii="Garamond" w:hAnsi="Garamond"/>
          <w:sz w:val="28"/>
          <w:szCs w:val="28"/>
          <w:lang w:eastAsia="es-ES"/>
        </w:rPr>
        <w:t>en materia de salud 5482 causas,</w:t>
      </w:r>
      <w:r w:rsidR="004801AD" w:rsidRPr="004801AD">
        <w:rPr>
          <w:rFonts w:ascii="Garamond" w:hAnsi="Garamond"/>
          <w:sz w:val="28"/>
          <w:szCs w:val="28"/>
          <w:lang w:eastAsia="es-ES"/>
        </w:rPr>
        <w:t xml:space="preserve"> con </w:t>
      </w:r>
      <w:r w:rsidR="00461242" w:rsidRPr="004801AD">
        <w:rPr>
          <w:rFonts w:ascii="Garamond" w:hAnsi="Garamond"/>
          <w:sz w:val="28"/>
          <w:szCs w:val="28"/>
          <w:lang w:eastAsia="es-ES"/>
        </w:rPr>
        <w:t xml:space="preserve">un 43,50% </w:t>
      </w:r>
      <w:r w:rsidR="004801AD" w:rsidRPr="004801AD">
        <w:rPr>
          <w:rFonts w:ascii="Garamond" w:hAnsi="Garamond"/>
          <w:sz w:val="28"/>
          <w:szCs w:val="28"/>
          <w:lang w:eastAsia="es-ES"/>
        </w:rPr>
        <w:t xml:space="preserve"> del total </w:t>
      </w:r>
      <w:r w:rsidR="00461242" w:rsidRPr="004801AD">
        <w:rPr>
          <w:rFonts w:ascii="Garamond" w:hAnsi="Garamond"/>
          <w:sz w:val="28"/>
          <w:szCs w:val="28"/>
          <w:lang w:eastAsia="es-ES"/>
        </w:rPr>
        <w:t xml:space="preserve">y en </w:t>
      </w:r>
      <w:r w:rsidR="004801AD" w:rsidRPr="004801AD">
        <w:rPr>
          <w:rFonts w:ascii="Garamond" w:hAnsi="Garamond"/>
          <w:sz w:val="28"/>
          <w:szCs w:val="28"/>
          <w:lang w:eastAsia="es-ES"/>
        </w:rPr>
        <w:t xml:space="preserve">Cartas de Ciudadanía </w:t>
      </w:r>
      <w:r w:rsidR="00461242" w:rsidRPr="004801AD">
        <w:rPr>
          <w:rFonts w:ascii="Garamond" w:hAnsi="Garamond"/>
          <w:sz w:val="28"/>
          <w:szCs w:val="28"/>
          <w:lang w:eastAsia="es-ES"/>
        </w:rPr>
        <w:t xml:space="preserve">4175 causas, </w:t>
      </w:r>
      <w:r w:rsidR="004801AD" w:rsidRPr="004801AD">
        <w:rPr>
          <w:rFonts w:ascii="Garamond" w:hAnsi="Garamond"/>
          <w:sz w:val="28"/>
          <w:szCs w:val="28"/>
          <w:lang w:eastAsia="es-ES"/>
        </w:rPr>
        <w:t xml:space="preserve">con </w:t>
      </w:r>
      <w:r w:rsidR="00461242" w:rsidRPr="004801AD">
        <w:rPr>
          <w:rFonts w:ascii="Garamond" w:hAnsi="Garamond"/>
          <w:sz w:val="28"/>
          <w:szCs w:val="28"/>
          <w:lang w:eastAsia="es-ES"/>
        </w:rPr>
        <w:t>un 33,12%</w:t>
      </w:r>
      <w:r>
        <w:rPr>
          <w:rFonts w:ascii="Garamond" w:hAnsi="Garamond"/>
          <w:sz w:val="28"/>
          <w:szCs w:val="28"/>
          <w:lang w:eastAsia="es-ES"/>
        </w:rPr>
        <w:t xml:space="preserve"> del total</w:t>
      </w:r>
      <w:r w:rsidR="00461242" w:rsidRPr="004801AD">
        <w:rPr>
          <w:rFonts w:ascii="Garamond" w:hAnsi="Garamond"/>
          <w:sz w:val="28"/>
          <w:szCs w:val="28"/>
          <w:lang w:eastAsia="es-ES"/>
        </w:rPr>
        <w:t>. Arrojando</w:t>
      </w:r>
      <w:r w:rsidR="004801AD" w:rsidRPr="004801AD">
        <w:rPr>
          <w:rFonts w:ascii="Garamond" w:hAnsi="Garamond"/>
          <w:sz w:val="28"/>
          <w:szCs w:val="28"/>
          <w:lang w:eastAsia="es-ES"/>
        </w:rPr>
        <w:t xml:space="preserve"> como resultado, </w:t>
      </w:r>
      <w:r w:rsidR="00461242" w:rsidRPr="004801AD">
        <w:rPr>
          <w:rFonts w:ascii="Garamond" w:hAnsi="Garamond"/>
          <w:sz w:val="28"/>
          <w:szCs w:val="28"/>
          <w:lang w:eastAsia="es-ES"/>
        </w:rPr>
        <w:t>entre ambas materias</w:t>
      </w:r>
      <w:r w:rsidR="004801AD" w:rsidRPr="004801AD">
        <w:rPr>
          <w:rFonts w:ascii="Garamond" w:hAnsi="Garamond"/>
          <w:sz w:val="28"/>
          <w:szCs w:val="28"/>
          <w:lang w:eastAsia="es-ES"/>
        </w:rPr>
        <w:t xml:space="preserve">, </w:t>
      </w:r>
      <w:r w:rsidR="00461242" w:rsidRPr="004801AD">
        <w:rPr>
          <w:rFonts w:ascii="Garamond" w:hAnsi="Garamond"/>
          <w:sz w:val="28"/>
          <w:szCs w:val="28"/>
          <w:lang w:eastAsia="es-ES"/>
        </w:rPr>
        <w:t>un total de 9.657 causas</w:t>
      </w:r>
      <w:r w:rsidR="004801AD" w:rsidRPr="004801AD">
        <w:rPr>
          <w:rFonts w:ascii="Garamond" w:hAnsi="Garamond"/>
          <w:sz w:val="28"/>
          <w:szCs w:val="28"/>
          <w:lang w:eastAsia="es-ES"/>
        </w:rPr>
        <w:t xml:space="preserve">, es decir, el </w:t>
      </w:r>
      <w:r w:rsidR="003259A1" w:rsidRPr="004801AD">
        <w:rPr>
          <w:rFonts w:ascii="Garamond" w:hAnsi="Garamond"/>
          <w:sz w:val="28"/>
          <w:szCs w:val="28"/>
          <w:lang w:eastAsia="es-ES"/>
        </w:rPr>
        <w:t>76,62 %</w:t>
      </w:r>
      <w:r w:rsidR="004801AD" w:rsidRPr="004801AD">
        <w:rPr>
          <w:rFonts w:ascii="Garamond" w:hAnsi="Garamond"/>
          <w:sz w:val="28"/>
          <w:szCs w:val="28"/>
          <w:lang w:eastAsia="es-ES"/>
        </w:rPr>
        <w:t xml:space="preserve"> de todas las causas ingresadas en ese año en el fuero</w:t>
      </w:r>
      <w:r w:rsidR="003259A1" w:rsidRPr="004801AD">
        <w:rPr>
          <w:rFonts w:ascii="Garamond" w:hAnsi="Garamond"/>
          <w:sz w:val="28"/>
          <w:szCs w:val="28"/>
          <w:lang w:eastAsia="es-ES"/>
        </w:rPr>
        <w:t xml:space="preserve">. </w:t>
      </w:r>
    </w:p>
    <w:p w14:paraId="1EA79693" w14:textId="311525AB" w:rsidR="00313AB2" w:rsidRPr="004801AD" w:rsidRDefault="00FE649B" w:rsidP="003259A1">
      <w:pPr>
        <w:spacing w:line="360" w:lineRule="auto"/>
        <w:ind w:firstLine="708"/>
        <w:jc w:val="both"/>
        <w:rPr>
          <w:rFonts w:ascii="Garamond" w:hAnsi="Garamond"/>
          <w:sz w:val="28"/>
          <w:szCs w:val="28"/>
          <w:lang w:eastAsia="es-ES"/>
        </w:rPr>
      </w:pPr>
      <w:r>
        <w:rPr>
          <w:rFonts w:ascii="Garamond" w:hAnsi="Garamond"/>
          <w:sz w:val="28"/>
          <w:szCs w:val="28"/>
          <w:lang w:eastAsia="es-ES"/>
        </w:rPr>
        <w:t>Además</w:t>
      </w:r>
      <w:r w:rsidR="00313AB2">
        <w:rPr>
          <w:rFonts w:ascii="Garamond" w:hAnsi="Garamond"/>
          <w:sz w:val="28"/>
          <w:szCs w:val="28"/>
          <w:lang w:eastAsia="es-ES"/>
        </w:rPr>
        <w:t xml:space="preserve"> de haber aumentado en </w:t>
      </w:r>
      <w:r>
        <w:rPr>
          <w:rFonts w:ascii="Garamond" w:hAnsi="Garamond"/>
          <w:sz w:val="28"/>
          <w:szCs w:val="28"/>
          <w:lang w:eastAsia="es-ES"/>
        </w:rPr>
        <w:t>más</w:t>
      </w:r>
      <w:r w:rsidR="00313AB2">
        <w:rPr>
          <w:rFonts w:ascii="Garamond" w:hAnsi="Garamond"/>
          <w:sz w:val="28"/>
          <w:szCs w:val="28"/>
          <w:lang w:eastAsia="es-ES"/>
        </w:rPr>
        <w:t xml:space="preserve"> del doble de causas sobre dichas materias, las temáticas no solo revisten de una importancia significativa, sino también los derechos en juego, especialmente en temas de salud, requieren de respuestas inmediatas y urgentes. </w:t>
      </w:r>
    </w:p>
    <w:p w14:paraId="381DDF15" w14:textId="1836A93C" w:rsidR="00B87270" w:rsidRPr="004801AD" w:rsidRDefault="00566F70" w:rsidP="00566F70">
      <w:pPr>
        <w:pStyle w:val="Ttulo1"/>
        <w:numPr>
          <w:ilvl w:val="0"/>
          <w:numId w:val="3"/>
        </w:numPr>
        <w:spacing w:line="360" w:lineRule="auto"/>
        <w:ind w:left="709"/>
        <w:jc w:val="both"/>
        <w:rPr>
          <w:szCs w:val="28"/>
          <w:lang w:eastAsia="es-ES"/>
        </w:rPr>
      </w:pPr>
      <w:bookmarkStart w:id="9" w:name="_Toc19113552"/>
      <w:r w:rsidRPr="004801AD">
        <w:rPr>
          <w:szCs w:val="28"/>
          <w:lang w:eastAsia="es-ES"/>
        </w:rPr>
        <w:lastRenderedPageBreak/>
        <w:t>A modo de reflexión final</w:t>
      </w:r>
      <w:bookmarkEnd w:id="7"/>
      <w:bookmarkEnd w:id="9"/>
      <w:r w:rsidRPr="004801AD">
        <w:rPr>
          <w:szCs w:val="28"/>
          <w:lang w:eastAsia="es-ES"/>
        </w:rPr>
        <w:t xml:space="preserve"> </w:t>
      </w:r>
    </w:p>
    <w:p w14:paraId="719D7FE0" w14:textId="77777777" w:rsidR="00C70D06" w:rsidRPr="004801AD" w:rsidRDefault="00C70D06" w:rsidP="00E44C90">
      <w:pPr>
        <w:spacing w:line="360" w:lineRule="auto"/>
        <w:jc w:val="both"/>
        <w:rPr>
          <w:rFonts w:ascii="Garamond" w:hAnsi="Garamond"/>
          <w:sz w:val="28"/>
          <w:szCs w:val="28"/>
          <w:lang w:eastAsia="es-ES"/>
        </w:rPr>
      </w:pPr>
    </w:p>
    <w:p w14:paraId="6D03FA39" w14:textId="29E40B4D" w:rsidR="00B87270" w:rsidRPr="004801AD" w:rsidRDefault="004801AD" w:rsidP="00E44C90">
      <w:pPr>
        <w:widowControl w:val="0"/>
        <w:autoSpaceDE w:val="0"/>
        <w:autoSpaceDN w:val="0"/>
        <w:adjustRightInd w:val="0"/>
        <w:spacing w:after="120" w:line="360" w:lineRule="auto"/>
        <w:ind w:firstLine="360"/>
        <w:jc w:val="both"/>
        <w:rPr>
          <w:rFonts w:ascii="Garamond" w:hAnsi="Garamond"/>
          <w:sz w:val="28"/>
          <w:szCs w:val="28"/>
          <w:lang w:eastAsia="es-ES"/>
        </w:rPr>
      </w:pPr>
      <w:r w:rsidRPr="004801AD">
        <w:rPr>
          <w:rFonts w:ascii="Garamond" w:hAnsi="Garamond"/>
          <w:sz w:val="28"/>
          <w:szCs w:val="28"/>
          <w:lang w:eastAsia="es-ES"/>
        </w:rPr>
        <w:t xml:space="preserve">Finalmente, </w:t>
      </w:r>
      <w:r w:rsidR="00C70D06" w:rsidRPr="004801AD">
        <w:rPr>
          <w:rFonts w:ascii="Garamond" w:hAnsi="Garamond"/>
          <w:sz w:val="28"/>
          <w:szCs w:val="28"/>
          <w:lang w:eastAsia="es-ES"/>
        </w:rPr>
        <w:t xml:space="preserve"> </w:t>
      </w:r>
      <w:r w:rsidR="00350B71" w:rsidRPr="004801AD">
        <w:rPr>
          <w:rFonts w:ascii="Garamond" w:hAnsi="Garamond"/>
          <w:sz w:val="28"/>
          <w:szCs w:val="28"/>
          <w:lang w:eastAsia="es-ES"/>
        </w:rPr>
        <w:t xml:space="preserve">quiero </w:t>
      </w:r>
      <w:r w:rsidR="009B1C97" w:rsidRPr="004801AD">
        <w:rPr>
          <w:rFonts w:ascii="Garamond" w:hAnsi="Garamond"/>
          <w:sz w:val="28"/>
          <w:szCs w:val="28"/>
          <w:lang w:eastAsia="es-ES"/>
        </w:rPr>
        <w:t>decirles</w:t>
      </w:r>
      <w:r w:rsidR="00350B71" w:rsidRPr="004801AD">
        <w:rPr>
          <w:rFonts w:ascii="Garamond" w:hAnsi="Garamond"/>
          <w:sz w:val="28"/>
          <w:szCs w:val="28"/>
          <w:lang w:eastAsia="es-ES"/>
        </w:rPr>
        <w:t xml:space="preserve"> a todos los asiduos lectores de elDial.com y muy especialmente a aquellas personas que ejercen de una u otra manera la materia </w:t>
      </w:r>
      <w:r w:rsidR="00735DC5" w:rsidRPr="004801AD">
        <w:rPr>
          <w:rFonts w:ascii="Garamond" w:hAnsi="Garamond"/>
          <w:sz w:val="28"/>
          <w:szCs w:val="28"/>
          <w:lang w:eastAsia="es-ES"/>
        </w:rPr>
        <w:t xml:space="preserve">civil y comercial federal, este suplemento </w:t>
      </w:r>
      <w:r w:rsidR="00350B71" w:rsidRPr="004801AD">
        <w:rPr>
          <w:rFonts w:ascii="Garamond" w:hAnsi="Garamond"/>
          <w:sz w:val="28"/>
          <w:szCs w:val="28"/>
          <w:lang w:eastAsia="es-ES"/>
        </w:rPr>
        <w:t>ha t</w:t>
      </w:r>
      <w:r w:rsidRPr="004801AD">
        <w:rPr>
          <w:rFonts w:ascii="Garamond" w:hAnsi="Garamond"/>
          <w:sz w:val="28"/>
          <w:szCs w:val="28"/>
          <w:lang w:eastAsia="es-ES"/>
        </w:rPr>
        <w:t xml:space="preserve">enido un espíritu muy innovador al </w:t>
      </w:r>
      <w:r w:rsidR="00735DC5" w:rsidRPr="004801AD">
        <w:rPr>
          <w:rFonts w:ascii="Garamond" w:hAnsi="Garamond"/>
          <w:sz w:val="28"/>
          <w:szCs w:val="28"/>
          <w:lang w:eastAsia="es-ES"/>
        </w:rPr>
        <w:t xml:space="preserve">tratar de construir puentes de unión de todas las materias que </w:t>
      </w:r>
      <w:r w:rsidRPr="004801AD">
        <w:rPr>
          <w:rFonts w:ascii="Garamond" w:hAnsi="Garamond"/>
          <w:sz w:val="28"/>
          <w:szCs w:val="28"/>
          <w:lang w:eastAsia="es-ES"/>
        </w:rPr>
        <w:t>se desarrollan</w:t>
      </w:r>
      <w:r w:rsidR="00735DC5" w:rsidRPr="004801AD">
        <w:rPr>
          <w:rFonts w:ascii="Garamond" w:hAnsi="Garamond"/>
          <w:sz w:val="28"/>
          <w:szCs w:val="28"/>
          <w:lang w:eastAsia="es-ES"/>
        </w:rPr>
        <w:t xml:space="preserve"> en dich</w:t>
      </w:r>
      <w:r w:rsidRPr="004801AD">
        <w:rPr>
          <w:rFonts w:ascii="Garamond" w:hAnsi="Garamond"/>
          <w:sz w:val="28"/>
          <w:szCs w:val="28"/>
          <w:lang w:eastAsia="es-ES"/>
        </w:rPr>
        <w:t xml:space="preserve">o fuero, </w:t>
      </w:r>
      <w:r w:rsidR="00735DC5" w:rsidRPr="004801AD">
        <w:rPr>
          <w:rFonts w:ascii="Garamond" w:hAnsi="Garamond"/>
          <w:sz w:val="28"/>
          <w:szCs w:val="28"/>
          <w:lang w:eastAsia="es-ES"/>
        </w:rPr>
        <w:t xml:space="preserve">bajo la </w:t>
      </w:r>
      <w:r w:rsidR="008B007E" w:rsidRPr="004801AD">
        <w:rPr>
          <w:rFonts w:ascii="Garamond" w:hAnsi="Garamond"/>
          <w:sz w:val="28"/>
          <w:szCs w:val="28"/>
          <w:lang w:eastAsia="es-ES"/>
        </w:rPr>
        <w:t>difusión</w:t>
      </w:r>
      <w:r w:rsidR="00735DC5" w:rsidRPr="004801AD">
        <w:rPr>
          <w:rFonts w:ascii="Garamond" w:hAnsi="Garamond"/>
          <w:sz w:val="28"/>
          <w:szCs w:val="28"/>
          <w:lang w:eastAsia="es-ES"/>
        </w:rPr>
        <w:t xml:space="preserve"> y comentario de toda </w:t>
      </w:r>
      <w:r w:rsidR="00350B71" w:rsidRPr="004801AD">
        <w:rPr>
          <w:rFonts w:ascii="Garamond" w:hAnsi="Garamond"/>
          <w:sz w:val="28"/>
          <w:szCs w:val="28"/>
          <w:lang w:eastAsia="es-ES"/>
        </w:rPr>
        <w:t xml:space="preserve">su jurisprudencia, normativa y opiniones doctrinarias, que trataremos en este </w:t>
      </w:r>
      <w:r w:rsidRPr="004801AD">
        <w:rPr>
          <w:rFonts w:ascii="Garamond" w:hAnsi="Garamond"/>
          <w:sz w:val="28"/>
          <w:szCs w:val="28"/>
          <w:lang w:eastAsia="es-ES"/>
        </w:rPr>
        <w:t>s</w:t>
      </w:r>
      <w:r w:rsidR="00350B71" w:rsidRPr="004801AD">
        <w:rPr>
          <w:rFonts w:ascii="Garamond" w:hAnsi="Garamond"/>
          <w:sz w:val="28"/>
          <w:szCs w:val="28"/>
          <w:lang w:eastAsia="es-ES"/>
        </w:rPr>
        <w:t xml:space="preserve">uplemento </w:t>
      </w:r>
      <w:r w:rsidRPr="004801AD">
        <w:rPr>
          <w:rFonts w:ascii="Garamond" w:hAnsi="Garamond"/>
          <w:sz w:val="28"/>
          <w:szCs w:val="28"/>
          <w:lang w:eastAsia="es-ES"/>
        </w:rPr>
        <w:t xml:space="preserve">de </w:t>
      </w:r>
      <w:r w:rsidR="00350B71" w:rsidRPr="004801AD">
        <w:rPr>
          <w:rFonts w:ascii="Garamond" w:hAnsi="Garamond"/>
          <w:sz w:val="28"/>
          <w:szCs w:val="28"/>
          <w:lang w:eastAsia="es-ES"/>
        </w:rPr>
        <w:t>transmitir para todos ustedes. Muchas gracias, hasta la próxima edición.</w:t>
      </w:r>
    </w:p>
    <w:p w14:paraId="4CA3557E" w14:textId="77777777" w:rsidR="00B87270" w:rsidRPr="00E44C90" w:rsidRDefault="00350B71" w:rsidP="00E44C90">
      <w:pPr>
        <w:widowControl w:val="0"/>
        <w:autoSpaceDE w:val="0"/>
        <w:autoSpaceDN w:val="0"/>
        <w:adjustRightInd w:val="0"/>
        <w:spacing w:after="120" w:line="360" w:lineRule="auto"/>
        <w:jc w:val="both"/>
        <w:rPr>
          <w:rFonts w:ascii="Garamond" w:hAnsi="Garamond"/>
          <w:sz w:val="28"/>
          <w:szCs w:val="28"/>
          <w:lang w:eastAsia="es-ES"/>
        </w:rPr>
      </w:pPr>
      <w:r w:rsidRPr="00E44C90">
        <w:rPr>
          <w:rFonts w:ascii="Garamond" w:hAnsi="Garamond"/>
          <w:sz w:val="28"/>
          <w:szCs w:val="28"/>
          <w:lang w:eastAsia="es-ES"/>
        </w:rPr>
        <w:br/>
      </w:r>
    </w:p>
    <w:p w14:paraId="3B4B1BB5" w14:textId="423FB7E0" w:rsidR="00AD5299" w:rsidRPr="00E44C90" w:rsidRDefault="00747141" w:rsidP="00E44C90">
      <w:pPr>
        <w:widowControl w:val="0"/>
        <w:autoSpaceDE w:val="0"/>
        <w:autoSpaceDN w:val="0"/>
        <w:adjustRightInd w:val="0"/>
        <w:spacing w:after="120" w:line="360" w:lineRule="auto"/>
        <w:jc w:val="both"/>
        <w:rPr>
          <w:rFonts w:ascii="Garamond" w:hAnsi="Garamond"/>
          <w:sz w:val="28"/>
          <w:szCs w:val="28"/>
          <w:lang w:eastAsia="es-ES"/>
        </w:rPr>
      </w:pPr>
      <w:r w:rsidRPr="00E44C90">
        <w:rPr>
          <w:rFonts w:ascii="Garamond" w:hAnsi="Garamond"/>
          <w:sz w:val="28"/>
          <w:szCs w:val="28"/>
          <w:lang w:eastAsia="es-ES"/>
        </w:rPr>
        <w:t xml:space="preserve"> </w:t>
      </w:r>
    </w:p>
    <w:p w14:paraId="4B72D422" w14:textId="217DDDD3" w:rsidR="00B87270" w:rsidRPr="00E44C90" w:rsidRDefault="00350B71" w:rsidP="00E44C90">
      <w:pPr>
        <w:widowControl w:val="0"/>
        <w:autoSpaceDE w:val="0"/>
        <w:autoSpaceDN w:val="0"/>
        <w:adjustRightInd w:val="0"/>
        <w:spacing w:after="120" w:line="360" w:lineRule="auto"/>
        <w:jc w:val="both"/>
        <w:rPr>
          <w:rFonts w:ascii="Garamond" w:hAnsi="Garamond"/>
          <w:sz w:val="28"/>
          <w:szCs w:val="28"/>
          <w:lang w:eastAsia="es-ES"/>
        </w:rPr>
      </w:pPr>
      <w:r w:rsidRPr="00E44C90">
        <w:rPr>
          <w:rFonts w:ascii="Garamond" w:hAnsi="Garamond"/>
          <w:sz w:val="28"/>
          <w:szCs w:val="28"/>
          <w:lang w:eastAsia="es-ES"/>
        </w:rPr>
        <w:br/>
      </w:r>
    </w:p>
    <w:sectPr w:rsidR="00B87270" w:rsidRPr="00E44C90" w:rsidSect="00AD5299">
      <w:footerReference w:type="default" r:id="rId10"/>
      <w:pgSz w:w="11907" w:h="16839" w:code="9"/>
      <w:pgMar w:top="1417" w:right="1701" w:bottom="1417"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E0B99" w14:textId="77777777" w:rsidR="004E12BA" w:rsidRDefault="004E12BA" w:rsidP="00AD5299">
      <w:r>
        <w:separator/>
      </w:r>
    </w:p>
  </w:endnote>
  <w:endnote w:type="continuationSeparator" w:id="0">
    <w:p w14:paraId="225E7DE9" w14:textId="77777777" w:rsidR="004E12BA" w:rsidRDefault="004E12BA" w:rsidP="00AD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9C456" w14:textId="77777777" w:rsidR="00AD5299" w:rsidRDefault="00F92A8F">
    <w:pPr>
      <w:pStyle w:val="Piedepgina"/>
      <w:jc w:val="right"/>
    </w:pPr>
    <w:r>
      <w:fldChar w:fldCharType="begin"/>
    </w:r>
    <w:r>
      <w:instrText xml:space="preserve"> PAGE   \* MERGEFORMAT </w:instrText>
    </w:r>
    <w:r>
      <w:fldChar w:fldCharType="separate"/>
    </w:r>
    <w:r w:rsidR="00A95423">
      <w:rPr>
        <w:noProof/>
      </w:rPr>
      <w:t>1</w:t>
    </w:r>
    <w:r>
      <w:rPr>
        <w:noProof/>
      </w:rPr>
      <w:fldChar w:fldCharType="end"/>
    </w:r>
  </w:p>
  <w:p w14:paraId="576DD655" w14:textId="77777777" w:rsidR="00AD5299" w:rsidRDefault="00AD52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5DD26" w14:textId="77777777" w:rsidR="004E12BA" w:rsidRDefault="004E12BA" w:rsidP="00AD5299">
      <w:r>
        <w:separator/>
      </w:r>
    </w:p>
  </w:footnote>
  <w:footnote w:type="continuationSeparator" w:id="0">
    <w:p w14:paraId="130CE388" w14:textId="77777777" w:rsidR="004E12BA" w:rsidRDefault="004E12BA" w:rsidP="00AD5299">
      <w:r>
        <w:continuationSeparator/>
      </w:r>
    </w:p>
  </w:footnote>
  <w:footnote w:id="1">
    <w:p w14:paraId="7653FEDF" w14:textId="7367D1EF" w:rsidR="00F21AA3" w:rsidRPr="00F21AA3" w:rsidRDefault="00F21AA3">
      <w:pPr>
        <w:pStyle w:val="Textonotapie"/>
        <w:rPr>
          <w:rFonts w:ascii="Garamond" w:hAnsi="Garamond"/>
          <w:lang w:val="es-AR"/>
        </w:rPr>
      </w:pPr>
      <w:r w:rsidRPr="00F21AA3">
        <w:rPr>
          <w:rStyle w:val="Refdenotaalpie"/>
          <w:rFonts w:ascii="Garamond" w:hAnsi="Garamond"/>
        </w:rPr>
        <w:footnoteRef/>
      </w:r>
      <w:r w:rsidRPr="00F21AA3">
        <w:rPr>
          <w:rFonts w:ascii="Garamond" w:hAnsi="Garamond"/>
          <w:lang w:val="es-AR"/>
        </w:rPr>
        <w:t xml:space="preserve"> </w:t>
      </w:r>
      <w:r w:rsidRPr="00F21AA3">
        <w:rPr>
          <w:rFonts w:ascii="Garamond" w:hAnsi="Garamond"/>
          <w:lang w:val="es-AR"/>
        </w:rPr>
        <w:t>R.N. 1857/62, p. 496</w:t>
      </w:r>
    </w:p>
  </w:footnote>
  <w:footnote w:id="2">
    <w:p w14:paraId="0AAAEACA" w14:textId="7FDCD530" w:rsidR="00F21AA3" w:rsidRPr="00F21AA3" w:rsidRDefault="00F21AA3">
      <w:pPr>
        <w:pStyle w:val="Textonotapie"/>
        <w:rPr>
          <w:lang w:val="es-AR"/>
        </w:rPr>
      </w:pPr>
      <w:r w:rsidRPr="00F21AA3">
        <w:rPr>
          <w:rStyle w:val="Refdenotaalpie"/>
        </w:rPr>
        <w:footnoteRef/>
      </w:r>
      <w:r w:rsidRPr="00F21AA3">
        <w:rPr>
          <w:lang w:val="es-AR"/>
        </w:rPr>
        <w:t xml:space="preserve"> </w:t>
      </w:r>
      <w:r w:rsidRPr="00F21AA3">
        <w:rPr>
          <w:rFonts w:ascii="Garamond" w:hAnsi="Garamond"/>
          <w:lang w:val="es-AR"/>
        </w:rPr>
        <w:t>R.N. 1863/69, p. 49</w:t>
      </w:r>
    </w:p>
  </w:footnote>
  <w:footnote w:id="3">
    <w:p w14:paraId="6B5DF998" w14:textId="41BF364B" w:rsidR="00F21AA3" w:rsidRPr="00F21AA3" w:rsidRDefault="00F21AA3">
      <w:pPr>
        <w:pStyle w:val="Textonotapie"/>
        <w:rPr>
          <w:lang w:val="es-AR"/>
        </w:rPr>
      </w:pPr>
      <w:r w:rsidRPr="00F21AA3">
        <w:rPr>
          <w:rStyle w:val="Refdenotaalpie"/>
        </w:rPr>
        <w:footnoteRef/>
      </w:r>
      <w:r w:rsidRPr="00F21AA3">
        <w:rPr>
          <w:lang w:val="es-AR"/>
        </w:rPr>
        <w:t xml:space="preserve"> </w:t>
      </w:r>
      <w:r w:rsidRPr="00F21AA3">
        <w:rPr>
          <w:rFonts w:ascii="Garamond" w:hAnsi="Garamond"/>
          <w:lang w:val="es-AR"/>
        </w:rPr>
        <w:t>R.N. 1863/69, p. 337</w:t>
      </w:r>
    </w:p>
  </w:footnote>
  <w:footnote w:id="4">
    <w:p w14:paraId="403E0E6D" w14:textId="223340AB" w:rsidR="00F21AA3" w:rsidRPr="00F21AA3" w:rsidRDefault="00F21AA3">
      <w:pPr>
        <w:pStyle w:val="Textonotapie"/>
        <w:rPr>
          <w:lang w:val="es-AR"/>
        </w:rPr>
      </w:pPr>
      <w:r w:rsidRPr="00F21AA3">
        <w:rPr>
          <w:rStyle w:val="Refdenotaalpie"/>
        </w:rPr>
        <w:footnoteRef/>
      </w:r>
      <w:r w:rsidRPr="00F21AA3">
        <w:rPr>
          <w:lang w:val="es-AR"/>
        </w:rPr>
        <w:t xml:space="preserve"> </w:t>
      </w:r>
      <w:r w:rsidRPr="00F21AA3">
        <w:rPr>
          <w:rFonts w:ascii="Garamond" w:hAnsi="Garamond"/>
          <w:lang w:val="es-AR"/>
        </w:rPr>
        <w:t>R.N. 1893, t. II, p. 71</w:t>
      </w:r>
    </w:p>
  </w:footnote>
  <w:footnote w:id="5">
    <w:p w14:paraId="3F888BA7" w14:textId="042B5A39" w:rsidR="00F21AA3" w:rsidRPr="00F21AA3" w:rsidRDefault="00F21AA3">
      <w:pPr>
        <w:pStyle w:val="Textonotapie"/>
        <w:rPr>
          <w:lang w:val="es-AR"/>
        </w:rPr>
      </w:pPr>
      <w:r w:rsidRPr="00F21AA3">
        <w:rPr>
          <w:rStyle w:val="Refdenotaalpie"/>
        </w:rPr>
        <w:footnoteRef/>
      </w:r>
      <w:r w:rsidRPr="00F21AA3">
        <w:rPr>
          <w:lang w:val="es-AR"/>
        </w:rPr>
        <w:t xml:space="preserve"> </w:t>
      </w:r>
      <w:r w:rsidRPr="00F21AA3">
        <w:rPr>
          <w:rFonts w:ascii="Garamond" w:hAnsi="Garamond"/>
        </w:rPr>
        <w:t>B.O. 05-09-47</w:t>
      </w:r>
    </w:p>
  </w:footnote>
  <w:footnote w:id="6">
    <w:p w14:paraId="7C8EFC5C" w14:textId="77777777" w:rsidR="00747141" w:rsidRPr="00D25475" w:rsidRDefault="00747141" w:rsidP="00747141">
      <w:pPr>
        <w:pStyle w:val="Textonotapie"/>
        <w:jc w:val="both"/>
        <w:rPr>
          <w:rFonts w:asciiTheme="minorHAnsi" w:hAnsiTheme="minorHAnsi"/>
          <w:lang w:val="es-AR"/>
        </w:rPr>
      </w:pPr>
      <w:r w:rsidRPr="00D25475">
        <w:rPr>
          <w:rStyle w:val="Refdenotaalpie"/>
          <w:rFonts w:asciiTheme="minorHAnsi" w:hAnsiTheme="minorHAnsi"/>
        </w:rPr>
        <w:footnoteRef/>
      </w:r>
      <w:r w:rsidRPr="00D25475">
        <w:rPr>
          <w:rFonts w:asciiTheme="minorHAnsi" w:hAnsiTheme="minorHAnsi"/>
          <w:lang w:val="es-AR"/>
        </w:rPr>
        <w:t xml:space="preserve"> </w:t>
      </w:r>
      <w:r w:rsidRPr="00D25475">
        <w:rPr>
          <w:rFonts w:asciiTheme="minorHAnsi" w:hAnsiTheme="minorHAnsi" w:cs="Arial"/>
          <w:bCs/>
          <w:color w:val="000000"/>
          <w:shd w:val="clear" w:color="auto" w:fill="FFFFFF" w:themeFill="background1"/>
          <w:lang w:val="es-AR"/>
        </w:rPr>
        <w:t>ARTICULO 1°</w:t>
      </w:r>
      <w:r w:rsidRPr="00D25475">
        <w:rPr>
          <w:rStyle w:val="apple-converted-space"/>
          <w:rFonts w:asciiTheme="minorHAnsi" w:hAnsiTheme="minorHAnsi" w:cs="Arial"/>
          <w:b/>
          <w:bCs/>
          <w:color w:val="000000"/>
          <w:shd w:val="clear" w:color="auto" w:fill="FFFFFF" w:themeFill="background1"/>
          <w:lang w:val="es-AR"/>
        </w:rPr>
        <w:t> </w:t>
      </w:r>
      <w:r w:rsidRPr="00D25475">
        <w:rPr>
          <w:rFonts w:asciiTheme="minorHAnsi" w:hAnsiTheme="minorHAnsi" w:cs="Arial"/>
          <w:color w:val="000000"/>
          <w:shd w:val="clear" w:color="auto" w:fill="FFFFFF" w:themeFill="background1"/>
          <w:lang w:val="es-AR"/>
        </w:rPr>
        <w:t>— En los procesos judiciales de cualquier naturaleza en que se demande al Estado nacional, a entidades integrantes del sistema financiero, de seguros o a mutuales de ayuda económica en razón de los créditos, deudas, obligaciones, depósitos o reprogramaciones financieras que pudieran considerarse afectados por las disposiciones contenidas en la Ley N° 25.561 y sus reglamentarias y complementarias, sólo será admisible la medida cautelar reglada por el artículo 230 del Código Procesal Civil y Comercial de la Nación cuando existiere el peligro de que si se mantuviere o alterare, en su caso, la situación de hecho o derecho la modificación pudiere interferir en la sentencia o convirtiere su ejecución en imposible o ineficaz</w:t>
      </w:r>
    </w:p>
  </w:footnote>
  <w:footnote w:id="7">
    <w:p w14:paraId="7FCEE7EA" w14:textId="17ABE182" w:rsidR="00313AB2" w:rsidRPr="00313AB2" w:rsidRDefault="00313AB2">
      <w:pPr>
        <w:pStyle w:val="Textonotapie"/>
        <w:rPr>
          <w:lang w:val="es-AR"/>
        </w:rPr>
      </w:pPr>
      <w:r w:rsidRPr="00313AB2">
        <w:rPr>
          <w:rStyle w:val="Refdenotaalpie"/>
        </w:rPr>
        <w:footnoteRef/>
      </w:r>
      <w:r w:rsidRPr="00313AB2">
        <w:t xml:space="preserve"> </w:t>
      </w:r>
      <w:r w:rsidRPr="00313AB2">
        <w:rPr>
          <w:rFonts w:ascii="Garamond" w:hAnsi="Garamond"/>
          <w:color w:val="000000" w:themeColor="text1"/>
        </w:rPr>
        <w:t>BO 26/12/1980</w:t>
      </w:r>
    </w:p>
  </w:footnote>
  <w:footnote w:id="8">
    <w:p w14:paraId="5080654D" w14:textId="524A5E1A" w:rsidR="00F21AA3" w:rsidRPr="00F21AA3" w:rsidRDefault="00F21AA3">
      <w:pPr>
        <w:pStyle w:val="Textonotapie"/>
        <w:rPr>
          <w:lang w:val="es-AR"/>
        </w:rPr>
      </w:pPr>
      <w:r w:rsidRPr="00F21AA3">
        <w:rPr>
          <w:rStyle w:val="Refdenotaalpie"/>
        </w:rPr>
        <w:footnoteRef/>
      </w:r>
      <w:r w:rsidRPr="00F21AA3">
        <w:t xml:space="preserve"> </w:t>
      </w:r>
      <w:r w:rsidRPr="00F21AA3">
        <w:rPr>
          <w:rFonts w:ascii="Garamond" w:hAnsi="Garamond"/>
        </w:rPr>
        <w:t>BO 18/6/2018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1129"/>
    <w:multiLevelType w:val="hybridMultilevel"/>
    <w:tmpl w:val="BD607D4E"/>
    <w:lvl w:ilvl="0" w:tplc="53FA2AC8">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348B7AD8"/>
    <w:multiLevelType w:val="hybridMultilevel"/>
    <w:tmpl w:val="D688AA4C"/>
    <w:lvl w:ilvl="0" w:tplc="B3C2AFCC">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CE72FDB"/>
    <w:multiLevelType w:val="hybridMultilevel"/>
    <w:tmpl w:val="F260DB4A"/>
    <w:lvl w:ilvl="0" w:tplc="A45E3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229C3"/>
    <w:multiLevelType w:val="hybridMultilevel"/>
    <w:tmpl w:val="3F0CFC7C"/>
    <w:lvl w:ilvl="0" w:tplc="67F000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A0DCB"/>
    <w:multiLevelType w:val="hybridMultilevel"/>
    <w:tmpl w:val="ABA0B570"/>
    <w:lvl w:ilvl="0" w:tplc="DFD461A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E08212C"/>
    <w:multiLevelType w:val="hybridMultilevel"/>
    <w:tmpl w:val="5B949BB8"/>
    <w:lvl w:ilvl="0" w:tplc="4270451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1"/>
    <w:rsid w:val="00095472"/>
    <w:rsid w:val="000A7E44"/>
    <w:rsid w:val="00127E64"/>
    <w:rsid w:val="00146C7C"/>
    <w:rsid w:val="00156460"/>
    <w:rsid w:val="00171E1B"/>
    <w:rsid w:val="00256F27"/>
    <w:rsid w:val="00282AB6"/>
    <w:rsid w:val="002E4C53"/>
    <w:rsid w:val="00303E9B"/>
    <w:rsid w:val="00313AB2"/>
    <w:rsid w:val="003259A1"/>
    <w:rsid w:val="00350B71"/>
    <w:rsid w:val="003A0F0E"/>
    <w:rsid w:val="003D3356"/>
    <w:rsid w:val="00461242"/>
    <w:rsid w:val="004801AD"/>
    <w:rsid w:val="00484F9C"/>
    <w:rsid w:val="004E12BA"/>
    <w:rsid w:val="00566F70"/>
    <w:rsid w:val="00587315"/>
    <w:rsid w:val="005A5175"/>
    <w:rsid w:val="006A3B82"/>
    <w:rsid w:val="006B755A"/>
    <w:rsid w:val="006D59DB"/>
    <w:rsid w:val="006D65FC"/>
    <w:rsid w:val="006F6294"/>
    <w:rsid w:val="00717260"/>
    <w:rsid w:val="00735DC5"/>
    <w:rsid w:val="00747141"/>
    <w:rsid w:val="0079118A"/>
    <w:rsid w:val="007D2F78"/>
    <w:rsid w:val="0084292B"/>
    <w:rsid w:val="00875727"/>
    <w:rsid w:val="008B007E"/>
    <w:rsid w:val="0092046F"/>
    <w:rsid w:val="009B1C97"/>
    <w:rsid w:val="009E49AD"/>
    <w:rsid w:val="00A233ED"/>
    <w:rsid w:val="00A43574"/>
    <w:rsid w:val="00A4437D"/>
    <w:rsid w:val="00A65919"/>
    <w:rsid w:val="00A77CB3"/>
    <w:rsid w:val="00A83006"/>
    <w:rsid w:val="00A95423"/>
    <w:rsid w:val="00AD5299"/>
    <w:rsid w:val="00AE184F"/>
    <w:rsid w:val="00B30D4B"/>
    <w:rsid w:val="00B87270"/>
    <w:rsid w:val="00BB66D1"/>
    <w:rsid w:val="00BD3B8A"/>
    <w:rsid w:val="00C0583A"/>
    <w:rsid w:val="00C141AC"/>
    <w:rsid w:val="00C346ED"/>
    <w:rsid w:val="00C70D06"/>
    <w:rsid w:val="00D01405"/>
    <w:rsid w:val="00D07058"/>
    <w:rsid w:val="00D1400E"/>
    <w:rsid w:val="00D24D86"/>
    <w:rsid w:val="00DA1D01"/>
    <w:rsid w:val="00DB6670"/>
    <w:rsid w:val="00E44C90"/>
    <w:rsid w:val="00F21AA3"/>
    <w:rsid w:val="00F45D0D"/>
    <w:rsid w:val="00F92A8F"/>
    <w:rsid w:val="00FA3DA1"/>
    <w:rsid w:val="00FE6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9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paragraph" w:styleId="Ttulo1">
    <w:name w:val="heading 1"/>
    <w:basedOn w:val="Normal"/>
    <w:next w:val="Normal"/>
    <w:link w:val="Ttulo1Car"/>
    <w:uiPriority w:val="9"/>
    <w:qFormat/>
    <w:rsid w:val="00146C7C"/>
    <w:pPr>
      <w:keepNext/>
      <w:keepLines/>
      <w:spacing w:before="240"/>
      <w:outlineLvl w:val="0"/>
    </w:pPr>
    <w:rPr>
      <w:rFonts w:ascii="Garamond" w:eastAsiaTheme="majorEastAsia" w:hAnsi="Garamond" w:cstheme="majorBidi"/>
      <w:b/>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 w:type="paragraph" w:styleId="Encabezado">
    <w:name w:val="header"/>
    <w:basedOn w:val="Normal"/>
    <w:link w:val="EncabezadoCar"/>
    <w:uiPriority w:val="99"/>
    <w:semiHidden/>
    <w:unhideWhenUsed/>
    <w:rsid w:val="00AD5299"/>
    <w:pPr>
      <w:tabs>
        <w:tab w:val="center" w:pos="4252"/>
        <w:tab w:val="right" w:pos="8504"/>
      </w:tabs>
    </w:pPr>
  </w:style>
  <w:style w:type="character" w:customStyle="1" w:styleId="EncabezadoCar">
    <w:name w:val="Encabezado Car"/>
    <w:basedOn w:val="Fuentedeprrafopredeter"/>
    <w:link w:val="Encabezado"/>
    <w:uiPriority w:val="99"/>
    <w:semiHidden/>
    <w:rsid w:val="00AD5299"/>
    <w:rPr>
      <w:sz w:val="24"/>
      <w:szCs w:val="24"/>
      <w:lang w:val="es-ES_tradnl" w:eastAsia="es-ES_tradnl"/>
    </w:rPr>
  </w:style>
  <w:style w:type="paragraph" w:styleId="Piedepgina">
    <w:name w:val="footer"/>
    <w:basedOn w:val="Normal"/>
    <w:link w:val="PiedepginaCar"/>
    <w:uiPriority w:val="99"/>
    <w:unhideWhenUsed/>
    <w:rsid w:val="00AD5299"/>
    <w:pPr>
      <w:tabs>
        <w:tab w:val="center" w:pos="4252"/>
        <w:tab w:val="right" w:pos="8504"/>
      </w:tabs>
    </w:pPr>
  </w:style>
  <w:style w:type="character" w:customStyle="1" w:styleId="PiedepginaCar">
    <w:name w:val="Pie de página Car"/>
    <w:basedOn w:val="Fuentedeprrafopredeter"/>
    <w:link w:val="Piedepgina"/>
    <w:uiPriority w:val="99"/>
    <w:rsid w:val="00AD5299"/>
    <w:rPr>
      <w:sz w:val="24"/>
      <w:szCs w:val="24"/>
      <w:lang w:val="es-ES_tradnl" w:eastAsia="es-ES_tradnl"/>
    </w:rPr>
  </w:style>
  <w:style w:type="paragraph" w:styleId="Textodeglobo">
    <w:name w:val="Balloon Text"/>
    <w:basedOn w:val="Normal"/>
    <w:link w:val="TextodegloboCar"/>
    <w:uiPriority w:val="99"/>
    <w:semiHidden/>
    <w:unhideWhenUsed/>
    <w:rsid w:val="00350B71"/>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B71"/>
    <w:rPr>
      <w:rFonts w:ascii="Tahoma" w:hAnsi="Tahoma" w:cs="Tahoma"/>
      <w:sz w:val="16"/>
      <w:szCs w:val="16"/>
      <w:lang w:val="es-ES_tradnl" w:eastAsia="es-ES_tradnl"/>
    </w:rPr>
  </w:style>
  <w:style w:type="paragraph" w:styleId="Textonotapie">
    <w:name w:val="footnote text"/>
    <w:basedOn w:val="Normal"/>
    <w:link w:val="TextonotapieCar"/>
    <w:semiHidden/>
    <w:rsid w:val="00747141"/>
    <w:rPr>
      <w:rFonts w:ascii="Cambria" w:hAnsi="Cambria"/>
      <w:sz w:val="20"/>
      <w:szCs w:val="20"/>
      <w:lang w:val="en-US" w:eastAsia="en-US"/>
    </w:rPr>
  </w:style>
  <w:style w:type="character" w:customStyle="1" w:styleId="TextonotapieCar">
    <w:name w:val="Texto nota pie Car"/>
    <w:basedOn w:val="Fuentedeprrafopredeter"/>
    <w:link w:val="Textonotapie"/>
    <w:semiHidden/>
    <w:rsid w:val="00747141"/>
    <w:rPr>
      <w:rFonts w:ascii="Cambria" w:hAnsi="Cambria"/>
      <w:sz w:val="20"/>
      <w:szCs w:val="20"/>
      <w:lang w:val="en-US" w:eastAsia="en-US"/>
    </w:rPr>
  </w:style>
  <w:style w:type="character" w:styleId="Refdenotaalpie">
    <w:name w:val="footnote reference"/>
    <w:basedOn w:val="Fuentedeprrafopredeter"/>
    <w:semiHidden/>
    <w:rsid w:val="00747141"/>
    <w:rPr>
      <w:rFonts w:ascii="Times New Roman" w:hAnsi="Times New Roman" w:cs="Times New Roman"/>
      <w:vertAlign w:val="superscript"/>
    </w:rPr>
  </w:style>
  <w:style w:type="character" w:customStyle="1" w:styleId="apple-converted-space">
    <w:name w:val="apple-converted-space"/>
    <w:basedOn w:val="Fuentedeprrafopredeter"/>
    <w:rsid w:val="00747141"/>
  </w:style>
  <w:style w:type="character" w:customStyle="1" w:styleId="Ttulo1Car">
    <w:name w:val="Título 1 Car"/>
    <w:basedOn w:val="Fuentedeprrafopredeter"/>
    <w:link w:val="Ttulo1"/>
    <w:uiPriority w:val="9"/>
    <w:rsid w:val="00146C7C"/>
    <w:rPr>
      <w:rFonts w:ascii="Garamond" w:eastAsiaTheme="majorEastAsia" w:hAnsi="Garamond" w:cstheme="majorBidi"/>
      <w:b/>
      <w:color w:val="000000" w:themeColor="text1"/>
      <w:sz w:val="28"/>
      <w:szCs w:val="32"/>
      <w:lang w:val="es-ES_tradnl" w:eastAsia="es-ES_tradnl"/>
    </w:rPr>
  </w:style>
  <w:style w:type="paragraph" w:styleId="Prrafodelista">
    <w:name w:val="List Paragraph"/>
    <w:basedOn w:val="Normal"/>
    <w:uiPriority w:val="34"/>
    <w:qFormat/>
    <w:rsid w:val="00146C7C"/>
    <w:pPr>
      <w:ind w:left="720"/>
      <w:contextualSpacing/>
    </w:pPr>
  </w:style>
  <w:style w:type="paragraph" w:styleId="TDC1">
    <w:name w:val="toc 1"/>
    <w:basedOn w:val="Normal"/>
    <w:next w:val="Normal"/>
    <w:autoRedefine/>
    <w:uiPriority w:val="39"/>
    <w:unhideWhenUsed/>
    <w:rsid w:val="00A77CB3"/>
    <w:pPr>
      <w:spacing w:after="100"/>
    </w:pPr>
  </w:style>
  <w:style w:type="character" w:styleId="Hipervnculo">
    <w:name w:val="Hyperlink"/>
    <w:basedOn w:val="Fuentedeprrafopredeter"/>
    <w:uiPriority w:val="99"/>
    <w:unhideWhenUsed/>
    <w:rsid w:val="00A77CB3"/>
    <w:rPr>
      <w:color w:val="0000FF" w:themeColor="hyperlink"/>
      <w:u w:val="single"/>
    </w:rPr>
  </w:style>
  <w:style w:type="paragraph" w:customStyle="1" w:styleId="element">
    <w:name w:val="element"/>
    <w:basedOn w:val="Normal"/>
    <w:rsid w:val="00256F27"/>
    <w:pPr>
      <w:spacing w:before="100" w:beforeAutospacing="1" w:after="100" w:afterAutospacing="1"/>
    </w:pPr>
    <w:rPr>
      <w:lang w:val="en-US" w:eastAsia="en-US"/>
    </w:rPr>
  </w:style>
  <w:style w:type="character" w:styleId="Textoennegrita">
    <w:name w:val="Strong"/>
    <w:basedOn w:val="Fuentedeprrafopredeter"/>
    <w:uiPriority w:val="22"/>
    <w:qFormat/>
    <w:rsid w:val="00256F27"/>
    <w:rPr>
      <w:b/>
      <w:bCs/>
    </w:rPr>
  </w:style>
  <w:style w:type="paragraph" w:styleId="NormalWeb">
    <w:name w:val="Normal (Web)"/>
    <w:basedOn w:val="Normal"/>
    <w:uiPriority w:val="99"/>
    <w:semiHidden/>
    <w:unhideWhenUsed/>
    <w:rsid w:val="006D59DB"/>
    <w:pPr>
      <w:spacing w:before="100" w:beforeAutospacing="1" w:after="100" w:afterAutospacing="1"/>
    </w:pPr>
    <w:rPr>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paragraph" w:styleId="Ttulo1">
    <w:name w:val="heading 1"/>
    <w:basedOn w:val="Normal"/>
    <w:next w:val="Normal"/>
    <w:link w:val="Ttulo1Car"/>
    <w:uiPriority w:val="9"/>
    <w:qFormat/>
    <w:rsid w:val="00146C7C"/>
    <w:pPr>
      <w:keepNext/>
      <w:keepLines/>
      <w:spacing w:before="240"/>
      <w:outlineLvl w:val="0"/>
    </w:pPr>
    <w:rPr>
      <w:rFonts w:ascii="Garamond" w:eastAsiaTheme="majorEastAsia" w:hAnsi="Garamond" w:cstheme="majorBidi"/>
      <w:b/>
      <w:color w:val="000000" w:themeColor="text1"/>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 w:type="paragraph" w:styleId="Encabezado">
    <w:name w:val="header"/>
    <w:basedOn w:val="Normal"/>
    <w:link w:val="EncabezadoCar"/>
    <w:uiPriority w:val="99"/>
    <w:semiHidden/>
    <w:unhideWhenUsed/>
    <w:rsid w:val="00AD5299"/>
    <w:pPr>
      <w:tabs>
        <w:tab w:val="center" w:pos="4252"/>
        <w:tab w:val="right" w:pos="8504"/>
      </w:tabs>
    </w:pPr>
  </w:style>
  <w:style w:type="character" w:customStyle="1" w:styleId="EncabezadoCar">
    <w:name w:val="Encabezado Car"/>
    <w:basedOn w:val="Fuentedeprrafopredeter"/>
    <w:link w:val="Encabezado"/>
    <w:uiPriority w:val="99"/>
    <w:semiHidden/>
    <w:rsid w:val="00AD5299"/>
    <w:rPr>
      <w:sz w:val="24"/>
      <w:szCs w:val="24"/>
      <w:lang w:val="es-ES_tradnl" w:eastAsia="es-ES_tradnl"/>
    </w:rPr>
  </w:style>
  <w:style w:type="paragraph" w:styleId="Piedepgina">
    <w:name w:val="footer"/>
    <w:basedOn w:val="Normal"/>
    <w:link w:val="PiedepginaCar"/>
    <w:uiPriority w:val="99"/>
    <w:unhideWhenUsed/>
    <w:rsid w:val="00AD5299"/>
    <w:pPr>
      <w:tabs>
        <w:tab w:val="center" w:pos="4252"/>
        <w:tab w:val="right" w:pos="8504"/>
      </w:tabs>
    </w:pPr>
  </w:style>
  <w:style w:type="character" w:customStyle="1" w:styleId="PiedepginaCar">
    <w:name w:val="Pie de página Car"/>
    <w:basedOn w:val="Fuentedeprrafopredeter"/>
    <w:link w:val="Piedepgina"/>
    <w:uiPriority w:val="99"/>
    <w:rsid w:val="00AD5299"/>
    <w:rPr>
      <w:sz w:val="24"/>
      <w:szCs w:val="24"/>
      <w:lang w:val="es-ES_tradnl" w:eastAsia="es-ES_tradnl"/>
    </w:rPr>
  </w:style>
  <w:style w:type="paragraph" w:styleId="Textodeglobo">
    <w:name w:val="Balloon Text"/>
    <w:basedOn w:val="Normal"/>
    <w:link w:val="TextodegloboCar"/>
    <w:uiPriority w:val="99"/>
    <w:semiHidden/>
    <w:unhideWhenUsed/>
    <w:rsid w:val="00350B71"/>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B71"/>
    <w:rPr>
      <w:rFonts w:ascii="Tahoma" w:hAnsi="Tahoma" w:cs="Tahoma"/>
      <w:sz w:val="16"/>
      <w:szCs w:val="16"/>
      <w:lang w:val="es-ES_tradnl" w:eastAsia="es-ES_tradnl"/>
    </w:rPr>
  </w:style>
  <w:style w:type="paragraph" w:styleId="Textonotapie">
    <w:name w:val="footnote text"/>
    <w:basedOn w:val="Normal"/>
    <w:link w:val="TextonotapieCar"/>
    <w:semiHidden/>
    <w:rsid w:val="00747141"/>
    <w:rPr>
      <w:rFonts w:ascii="Cambria" w:hAnsi="Cambria"/>
      <w:sz w:val="20"/>
      <w:szCs w:val="20"/>
      <w:lang w:val="en-US" w:eastAsia="en-US"/>
    </w:rPr>
  </w:style>
  <w:style w:type="character" w:customStyle="1" w:styleId="TextonotapieCar">
    <w:name w:val="Texto nota pie Car"/>
    <w:basedOn w:val="Fuentedeprrafopredeter"/>
    <w:link w:val="Textonotapie"/>
    <w:semiHidden/>
    <w:rsid w:val="00747141"/>
    <w:rPr>
      <w:rFonts w:ascii="Cambria" w:hAnsi="Cambria"/>
      <w:sz w:val="20"/>
      <w:szCs w:val="20"/>
      <w:lang w:val="en-US" w:eastAsia="en-US"/>
    </w:rPr>
  </w:style>
  <w:style w:type="character" w:styleId="Refdenotaalpie">
    <w:name w:val="footnote reference"/>
    <w:basedOn w:val="Fuentedeprrafopredeter"/>
    <w:semiHidden/>
    <w:rsid w:val="00747141"/>
    <w:rPr>
      <w:rFonts w:ascii="Times New Roman" w:hAnsi="Times New Roman" w:cs="Times New Roman"/>
      <w:vertAlign w:val="superscript"/>
    </w:rPr>
  </w:style>
  <w:style w:type="character" w:customStyle="1" w:styleId="apple-converted-space">
    <w:name w:val="apple-converted-space"/>
    <w:basedOn w:val="Fuentedeprrafopredeter"/>
    <w:rsid w:val="00747141"/>
  </w:style>
  <w:style w:type="character" w:customStyle="1" w:styleId="Ttulo1Car">
    <w:name w:val="Título 1 Car"/>
    <w:basedOn w:val="Fuentedeprrafopredeter"/>
    <w:link w:val="Ttulo1"/>
    <w:uiPriority w:val="9"/>
    <w:rsid w:val="00146C7C"/>
    <w:rPr>
      <w:rFonts w:ascii="Garamond" w:eastAsiaTheme="majorEastAsia" w:hAnsi="Garamond" w:cstheme="majorBidi"/>
      <w:b/>
      <w:color w:val="000000" w:themeColor="text1"/>
      <w:sz w:val="28"/>
      <w:szCs w:val="32"/>
      <w:lang w:val="es-ES_tradnl" w:eastAsia="es-ES_tradnl"/>
    </w:rPr>
  </w:style>
  <w:style w:type="paragraph" w:styleId="Prrafodelista">
    <w:name w:val="List Paragraph"/>
    <w:basedOn w:val="Normal"/>
    <w:uiPriority w:val="34"/>
    <w:qFormat/>
    <w:rsid w:val="00146C7C"/>
    <w:pPr>
      <w:ind w:left="720"/>
      <w:contextualSpacing/>
    </w:pPr>
  </w:style>
  <w:style w:type="paragraph" w:styleId="TDC1">
    <w:name w:val="toc 1"/>
    <w:basedOn w:val="Normal"/>
    <w:next w:val="Normal"/>
    <w:autoRedefine/>
    <w:uiPriority w:val="39"/>
    <w:unhideWhenUsed/>
    <w:rsid w:val="00A77CB3"/>
    <w:pPr>
      <w:spacing w:after="100"/>
    </w:pPr>
  </w:style>
  <w:style w:type="character" w:styleId="Hipervnculo">
    <w:name w:val="Hyperlink"/>
    <w:basedOn w:val="Fuentedeprrafopredeter"/>
    <w:uiPriority w:val="99"/>
    <w:unhideWhenUsed/>
    <w:rsid w:val="00A77CB3"/>
    <w:rPr>
      <w:color w:val="0000FF" w:themeColor="hyperlink"/>
      <w:u w:val="single"/>
    </w:rPr>
  </w:style>
  <w:style w:type="paragraph" w:customStyle="1" w:styleId="element">
    <w:name w:val="element"/>
    <w:basedOn w:val="Normal"/>
    <w:rsid w:val="00256F27"/>
    <w:pPr>
      <w:spacing w:before="100" w:beforeAutospacing="1" w:after="100" w:afterAutospacing="1"/>
    </w:pPr>
    <w:rPr>
      <w:lang w:val="en-US" w:eastAsia="en-US"/>
    </w:rPr>
  </w:style>
  <w:style w:type="character" w:styleId="Textoennegrita">
    <w:name w:val="Strong"/>
    <w:basedOn w:val="Fuentedeprrafopredeter"/>
    <w:uiPriority w:val="22"/>
    <w:qFormat/>
    <w:rsid w:val="00256F27"/>
    <w:rPr>
      <w:b/>
      <w:bCs/>
    </w:rPr>
  </w:style>
  <w:style w:type="paragraph" w:styleId="NormalWeb">
    <w:name w:val="Normal (Web)"/>
    <w:basedOn w:val="Normal"/>
    <w:uiPriority w:val="99"/>
    <w:semiHidden/>
    <w:unhideWhenUsed/>
    <w:rsid w:val="006D59DB"/>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2303">
      <w:bodyDiv w:val="1"/>
      <w:marLeft w:val="0"/>
      <w:marRight w:val="0"/>
      <w:marTop w:val="0"/>
      <w:marBottom w:val="0"/>
      <w:divBdr>
        <w:top w:val="none" w:sz="0" w:space="0" w:color="auto"/>
        <w:left w:val="none" w:sz="0" w:space="0" w:color="auto"/>
        <w:bottom w:val="none" w:sz="0" w:space="0" w:color="auto"/>
        <w:right w:val="none" w:sz="0" w:space="0" w:color="auto"/>
      </w:divBdr>
      <w:divsChild>
        <w:div w:id="1464538201">
          <w:marLeft w:val="0"/>
          <w:marRight w:val="0"/>
          <w:marTop w:val="0"/>
          <w:marBottom w:val="0"/>
          <w:divBdr>
            <w:top w:val="none" w:sz="0" w:space="0" w:color="auto"/>
            <w:left w:val="none" w:sz="0" w:space="0" w:color="auto"/>
            <w:bottom w:val="none" w:sz="0" w:space="0" w:color="auto"/>
            <w:right w:val="none" w:sz="0" w:space="0" w:color="auto"/>
          </w:divBdr>
          <w:divsChild>
            <w:div w:id="1607541151">
              <w:marLeft w:val="0"/>
              <w:marRight w:val="0"/>
              <w:marTop w:val="0"/>
              <w:marBottom w:val="0"/>
              <w:divBdr>
                <w:top w:val="none" w:sz="0" w:space="0" w:color="auto"/>
                <w:left w:val="none" w:sz="0" w:space="0" w:color="auto"/>
                <w:bottom w:val="none" w:sz="0" w:space="0" w:color="auto"/>
                <w:right w:val="none" w:sz="0" w:space="0" w:color="auto"/>
              </w:divBdr>
            </w:div>
          </w:divsChild>
        </w:div>
        <w:div w:id="1967151752">
          <w:marLeft w:val="0"/>
          <w:marRight w:val="0"/>
          <w:marTop w:val="0"/>
          <w:marBottom w:val="0"/>
          <w:divBdr>
            <w:top w:val="none" w:sz="0" w:space="0" w:color="auto"/>
            <w:left w:val="none" w:sz="0" w:space="0" w:color="auto"/>
            <w:bottom w:val="none" w:sz="0" w:space="0" w:color="auto"/>
            <w:right w:val="none" w:sz="0" w:space="0" w:color="auto"/>
          </w:divBdr>
          <w:divsChild>
            <w:div w:id="512261892">
              <w:marLeft w:val="0"/>
              <w:marRight w:val="0"/>
              <w:marTop w:val="0"/>
              <w:marBottom w:val="0"/>
              <w:divBdr>
                <w:top w:val="none" w:sz="0" w:space="0" w:color="auto"/>
                <w:left w:val="none" w:sz="0" w:space="0" w:color="auto"/>
                <w:bottom w:val="none" w:sz="0" w:space="0" w:color="auto"/>
                <w:right w:val="none" w:sz="0" w:space="0" w:color="auto"/>
              </w:divBdr>
            </w:div>
          </w:divsChild>
        </w:div>
        <w:div w:id="1999575144">
          <w:marLeft w:val="0"/>
          <w:marRight w:val="0"/>
          <w:marTop w:val="0"/>
          <w:marBottom w:val="0"/>
          <w:divBdr>
            <w:top w:val="none" w:sz="0" w:space="0" w:color="auto"/>
            <w:left w:val="none" w:sz="0" w:space="0" w:color="auto"/>
            <w:bottom w:val="none" w:sz="0" w:space="0" w:color="auto"/>
            <w:right w:val="none" w:sz="0" w:space="0" w:color="auto"/>
          </w:divBdr>
          <w:divsChild>
            <w:div w:id="1113473065">
              <w:marLeft w:val="0"/>
              <w:marRight w:val="0"/>
              <w:marTop w:val="0"/>
              <w:marBottom w:val="0"/>
              <w:divBdr>
                <w:top w:val="none" w:sz="0" w:space="0" w:color="auto"/>
                <w:left w:val="none" w:sz="0" w:space="0" w:color="auto"/>
                <w:bottom w:val="none" w:sz="0" w:space="0" w:color="auto"/>
                <w:right w:val="none" w:sz="0" w:space="0" w:color="auto"/>
              </w:divBdr>
            </w:div>
          </w:divsChild>
        </w:div>
        <w:div w:id="742987279">
          <w:marLeft w:val="0"/>
          <w:marRight w:val="0"/>
          <w:marTop w:val="0"/>
          <w:marBottom w:val="0"/>
          <w:divBdr>
            <w:top w:val="none" w:sz="0" w:space="0" w:color="auto"/>
            <w:left w:val="none" w:sz="0" w:space="0" w:color="auto"/>
            <w:bottom w:val="none" w:sz="0" w:space="0" w:color="auto"/>
            <w:right w:val="none" w:sz="0" w:space="0" w:color="auto"/>
          </w:divBdr>
          <w:divsChild>
            <w:div w:id="1619220764">
              <w:marLeft w:val="0"/>
              <w:marRight w:val="0"/>
              <w:marTop w:val="0"/>
              <w:marBottom w:val="0"/>
              <w:divBdr>
                <w:top w:val="none" w:sz="0" w:space="0" w:color="auto"/>
                <w:left w:val="none" w:sz="0" w:space="0" w:color="auto"/>
                <w:bottom w:val="none" w:sz="0" w:space="0" w:color="auto"/>
                <w:right w:val="none" w:sz="0" w:space="0" w:color="auto"/>
              </w:divBdr>
            </w:div>
          </w:divsChild>
        </w:div>
        <w:div w:id="1189872721">
          <w:marLeft w:val="0"/>
          <w:marRight w:val="0"/>
          <w:marTop w:val="0"/>
          <w:marBottom w:val="0"/>
          <w:divBdr>
            <w:top w:val="none" w:sz="0" w:space="0" w:color="auto"/>
            <w:left w:val="none" w:sz="0" w:space="0" w:color="auto"/>
            <w:bottom w:val="none" w:sz="0" w:space="0" w:color="auto"/>
            <w:right w:val="none" w:sz="0" w:space="0" w:color="auto"/>
          </w:divBdr>
          <w:divsChild>
            <w:div w:id="1193302544">
              <w:marLeft w:val="0"/>
              <w:marRight w:val="0"/>
              <w:marTop w:val="0"/>
              <w:marBottom w:val="0"/>
              <w:divBdr>
                <w:top w:val="none" w:sz="0" w:space="0" w:color="auto"/>
                <w:left w:val="none" w:sz="0" w:space="0" w:color="auto"/>
                <w:bottom w:val="none" w:sz="0" w:space="0" w:color="auto"/>
                <w:right w:val="none" w:sz="0" w:space="0" w:color="auto"/>
              </w:divBdr>
            </w:div>
          </w:divsChild>
        </w:div>
        <w:div w:id="534193220">
          <w:marLeft w:val="0"/>
          <w:marRight w:val="0"/>
          <w:marTop w:val="0"/>
          <w:marBottom w:val="0"/>
          <w:divBdr>
            <w:top w:val="none" w:sz="0" w:space="0" w:color="auto"/>
            <w:left w:val="none" w:sz="0" w:space="0" w:color="auto"/>
            <w:bottom w:val="none" w:sz="0" w:space="0" w:color="auto"/>
            <w:right w:val="none" w:sz="0" w:space="0" w:color="auto"/>
          </w:divBdr>
          <w:divsChild>
            <w:div w:id="556164698">
              <w:marLeft w:val="0"/>
              <w:marRight w:val="0"/>
              <w:marTop w:val="0"/>
              <w:marBottom w:val="0"/>
              <w:divBdr>
                <w:top w:val="none" w:sz="0" w:space="0" w:color="auto"/>
                <w:left w:val="none" w:sz="0" w:space="0" w:color="auto"/>
                <w:bottom w:val="none" w:sz="0" w:space="0" w:color="auto"/>
                <w:right w:val="none" w:sz="0" w:space="0" w:color="auto"/>
              </w:divBdr>
            </w:div>
          </w:divsChild>
        </w:div>
        <w:div w:id="447505764">
          <w:marLeft w:val="0"/>
          <w:marRight w:val="0"/>
          <w:marTop w:val="0"/>
          <w:marBottom w:val="0"/>
          <w:divBdr>
            <w:top w:val="none" w:sz="0" w:space="0" w:color="auto"/>
            <w:left w:val="none" w:sz="0" w:space="0" w:color="auto"/>
            <w:bottom w:val="none" w:sz="0" w:space="0" w:color="auto"/>
            <w:right w:val="none" w:sz="0" w:space="0" w:color="auto"/>
          </w:divBdr>
          <w:divsChild>
            <w:div w:id="1241595178">
              <w:marLeft w:val="0"/>
              <w:marRight w:val="0"/>
              <w:marTop w:val="0"/>
              <w:marBottom w:val="0"/>
              <w:divBdr>
                <w:top w:val="none" w:sz="0" w:space="0" w:color="auto"/>
                <w:left w:val="none" w:sz="0" w:space="0" w:color="auto"/>
                <w:bottom w:val="none" w:sz="0" w:space="0" w:color="auto"/>
                <w:right w:val="none" w:sz="0" w:space="0" w:color="auto"/>
              </w:divBdr>
            </w:div>
          </w:divsChild>
        </w:div>
        <w:div w:id="926960778">
          <w:marLeft w:val="0"/>
          <w:marRight w:val="0"/>
          <w:marTop w:val="0"/>
          <w:marBottom w:val="0"/>
          <w:divBdr>
            <w:top w:val="none" w:sz="0" w:space="0" w:color="auto"/>
            <w:left w:val="none" w:sz="0" w:space="0" w:color="auto"/>
            <w:bottom w:val="none" w:sz="0" w:space="0" w:color="auto"/>
            <w:right w:val="none" w:sz="0" w:space="0" w:color="auto"/>
          </w:divBdr>
          <w:divsChild>
            <w:div w:id="1303845958">
              <w:marLeft w:val="0"/>
              <w:marRight w:val="0"/>
              <w:marTop w:val="0"/>
              <w:marBottom w:val="0"/>
              <w:divBdr>
                <w:top w:val="none" w:sz="0" w:space="0" w:color="auto"/>
                <w:left w:val="none" w:sz="0" w:space="0" w:color="auto"/>
                <w:bottom w:val="none" w:sz="0" w:space="0" w:color="auto"/>
                <w:right w:val="none" w:sz="0" w:space="0" w:color="auto"/>
              </w:divBdr>
            </w:div>
          </w:divsChild>
        </w:div>
        <w:div w:id="334038553">
          <w:marLeft w:val="0"/>
          <w:marRight w:val="0"/>
          <w:marTop w:val="0"/>
          <w:marBottom w:val="0"/>
          <w:divBdr>
            <w:top w:val="none" w:sz="0" w:space="0" w:color="auto"/>
            <w:left w:val="none" w:sz="0" w:space="0" w:color="auto"/>
            <w:bottom w:val="none" w:sz="0" w:space="0" w:color="auto"/>
            <w:right w:val="none" w:sz="0" w:space="0" w:color="auto"/>
          </w:divBdr>
          <w:divsChild>
            <w:div w:id="1635482440">
              <w:marLeft w:val="0"/>
              <w:marRight w:val="0"/>
              <w:marTop w:val="0"/>
              <w:marBottom w:val="0"/>
              <w:divBdr>
                <w:top w:val="none" w:sz="0" w:space="0" w:color="auto"/>
                <w:left w:val="none" w:sz="0" w:space="0" w:color="auto"/>
                <w:bottom w:val="none" w:sz="0" w:space="0" w:color="auto"/>
                <w:right w:val="none" w:sz="0" w:space="0" w:color="auto"/>
              </w:divBdr>
            </w:div>
          </w:divsChild>
        </w:div>
        <w:div w:id="1616209703">
          <w:marLeft w:val="0"/>
          <w:marRight w:val="0"/>
          <w:marTop w:val="0"/>
          <w:marBottom w:val="0"/>
          <w:divBdr>
            <w:top w:val="none" w:sz="0" w:space="0" w:color="auto"/>
            <w:left w:val="none" w:sz="0" w:space="0" w:color="auto"/>
            <w:bottom w:val="none" w:sz="0" w:space="0" w:color="auto"/>
            <w:right w:val="none" w:sz="0" w:space="0" w:color="auto"/>
          </w:divBdr>
          <w:divsChild>
            <w:div w:id="69469000">
              <w:marLeft w:val="0"/>
              <w:marRight w:val="0"/>
              <w:marTop w:val="0"/>
              <w:marBottom w:val="0"/>
              <w:divBdr>
                <w:top w:val="none" w:sz="0" w:space="0" w:color="auto"/>
                <w:left w:val="none" w:sz="0" w:space="0" w:color="auto"/>
                <w:bottom w:val="none" w:sz="0" w:space="0" w:color="auto"/>
                <w:right w:val="none" w:sz="0" w:space="0" w:color="auto"/>
              </w:divBdr>
            </w:div>
          </w:divsChild>
        </w:div>
        <w:div w:id="1958172098">
          <w:marLeft w:val="0"/>
          <w:marRight w:val="0"/>
          <w:marTop w:val="0"/>
          <w:marBottom w:val="0"/>
          <w:divBdr>
            <w:top w:val="none" w:sz="0" w:space="0" w:color="auto"/>
            <w:left w:val="none" w:sz="0" w:space="0" w:color="auto"/>
            <w:bottom w:val="none" w:sz="0" w:space="0" w:color="auto"/>
            <w:right w:val="none" w:sz="0" w:space="0" w:color="auto"/>
          </w:divBdr>
          <w:divsChild>
            <w:div w:id="1783986828">
              <w:marLeft w:val="0"/>
              <w:marRight w:val="0"/>
              <w:marTop w:val="0"/>
              <w:marBottom w:val="0"/>
              <w:divBdr>
                <w:top w:val="none" w:sz="0" w:space="0" w:color="auto"/>
                <w:left w:val="none" w:sz="0" w:space="0" w:color="auto"/>
                <w:bottom w:val="none" w:sz="0" w:space="0" w:color="auto"/>
                <w:right w:val="none" w:sz="0" w:space="0" w:color="auto"/>
              </w:divBdr>
            </w:div>
          </w:divsChild>
        </w:div>
        <w:div w:id="147132279">
          <w:marLeft w:val="0"/>
          <w:marRight w:val="0"/>
          <w:marTop w:val="0"/>
          <w:marBottom w:val="0"/>
          <w:divBdr>
            <w:top w:val="none" w:sz="0" w:space="0" w:color="auto"/>
            <w:left w:val="none" w:sz="0" w:space="0" w:color="auto"/>
            <w:bottom w:val="none" w:sz="0" w:space="0" w:color="auto"/>
            <w:right w:val="none" w:sz="0" w:space="0" w:color="auto"/>
          </w:divBdr>
          <w:divsChild>
            <w:div w:id="340670808">
              <w:marLeft w:val="0"/>
              <w:marRight w:val="0"/>
              <w:marTop w:val="0"/>
              <w:marBottom w:val="0"/>
              <w:divBdr>
                <w:top w:val="none" w:sz="0" w:space="0" w:color="auto"/>
                <w:left w:val="none" w:sz="0" w:space="0" w:color="auto"/>
                <w:bottom w:val="none" w:sz="0" w:space="0" w:color="auto"/>
                <w:right w:val="none" w:sz="0" w:space="0" w:color="auto"/>
              </w:divBdr>
            </w:div>
          </w:divsChild>
        </w:div>
        <w:div w:id="745226515">
          <w:marLeft w:val="0"/>
          <w:marRight w:val="0"/>
          <w:marTop w:val="0"/>
          <w:marBottom w:val="0"/>
          <w:divBdr>
            <w:top w:val="none" w:sz="0" w:space="0" w:color="auto"/>
            <w:left w:val="none" w:sz="0" w:space="0" w:color="auto"/>
            <w:bottom w:val="none" w:sz="0" w:space="0" w:color="auto"/>
            <w:right w:val="none" w:sz="0" w:space="0" w:color="auto"/>
          </w:divBdr>
          <w:divsChild>
            <w:div w:id="1714039675">
              <w:marLeft w:val="0"/>
              <w:marRight w:val="0"/>
              <w:marTop w:val="0"/>
              <w:marBottom w:val="0"/>
              <w:divBdr>
                <w:top w:val="none" w:sz="0" w:space="0" w:color="auto"/>
                <w:left w:val="none" w:sz="0" w:space="0" w:color="auto"/>
                <w:bottom w:val="none" w:sz="0" w:space="0" w:color="auto"/>
                <w:right w:val="none" w:sz="0" w:space="0" w:color="auto"/>
              </w:divBdr>
            </w:div>
          </w:divsChild>
        </w:div>
        <w:div w:id="1383598588">
          <w:marLeft w:val="0"/>
          <w:marRight w:val="0"/>
          <w:marTop w:val="0"/>
          <w:marBottom w:val="0"/>
          <w:divBdr>
            <w:top w:val="none" w:sz="0" w:space="0" w:color="auto"/>
            <w:left w:val="none" w:sz="0" w:space="0" w:color="auto"/>
            <w:bottom w:val="none" w:sz="0" w:space="0" w:color="auto"/>
            <w:right w:val="none" w:sz="0" w:space="0" w:color="auto"/>
          </w:divBdr>
          <w:divsChild>
            <w:div w:id="289433359">
              <w:marLeft w:val="0"/>
              <w:marRight w:val="0"/>
              <w:marTop w:val="0"/>
              <w:marBottom w:val="0"/>
              <w:divBdr>
                <w:top w:val="none" w:sz="0" w:space="0" w:color="auto"/>
                <w:left w:val="none" w:sz="0" w:space="0" w:color="auto"/>
                <w:bottom w:val="none" w:sz="0" w:space="0" w:color="auto"/>
                <w:right w:val="none" w:sz="0" w:space="0" w:color="auto"/>
              </w:divBdr>
            </w:div>
          </w:divsChild>
        </w:div>
        <w:div w:id="403187676">
          <w:marLeft w:val="0"/>
          <w:marRight w:val="0"/>
          <w:marTop w:val="0"/>
          <w:marBottom w:val="0"/>
          <w:divBdr>
            <w:top w:val="none" w:sz="0" w:space="0" w:color="auto"/>
            <w:left w:val="none" w:sz="0" w:space="0" w:color="auto"/>
            <w:bottom w:val="none" w:sz="0" w:space="0" w:color="auto"/>
            <w:right w:val="none" w:sz="0" w:space="0" w:color="auto"/>
          </w:divBdr>
          <w:divsChild>
            <w:div w:id="242304446">
              <w:marLeft w:val="0"/>
              <w:marRight w:val="0"/>
              <w:marTop w:val="0"/>
              <w:marBottom w:val="0"/>
              <w:divBdr>
                <w:top w:val="none" w:sz="0" w:space="0" w:color="auto"/>
                <w:left w:val="none" w:sz="0" w:space="0" w:color="auto"/>
                <w:bottom w:val="none" w:sz="0" w:space="0" w:color="auto"/>
                <w:right w:val="none" w:sz="0" w:space="0" w:color="auto"/>
              </w:divBdr>
            </w:div>
          </w:divsChild>
        </w:div>
        <w:div w:id="1710761848">
          <w:marLeft w:val="0"/>
          <w:marRight w:val="0"/>
          <w:marTop w:val="0"/>
          <w:marBottom w:val="0"/>
          <w:divBdr>
            <w:top w:val="none" w:sz="0" w:space="0" w:color="auto"/>
            <w:left w:val="none" w:sz="0" w:space="0" w:color="auto"/>
            <w:bottom w:val="none" w:sz="0" w:space="0" w:color="auto"/>
            <w:right w:val="none" w:sz="0" w:space="0" w:color="auto"/>
          </w:divBdr>
          <w:divsChild>
            <w:div w:id="837581365">
              <w:marLeft w:val="0"/>
              <w:marRight w:val="0"/>
              <w:marTop w:val="0"/>
              <w:marBottom w:val="0"/>
              <w:divBdr>
                <w:top w:val="none" w:sz="0" w:space="0" w:color="auto"/>
                <w:left w:val="none" w:sz="0" w:space="0" w:color="auto"/>
                <w:bottom w:val="none" w:sz="0" w:space="0" w:color="auto"/>
                <w:right w:val="none" w:sz="0" w:space="0" w:color="auto"/>
              </w:divBdr>
            </w:div>
          </w:divsChild>
        </w:div>
        <w:div w:id="493224153">
          <w:marLeft w:val="0"/>
          <w:marRight w:val="0"/>
          <w:marTop w:val="0"/>
          <w:marBottom w:val="0"/>
          <w:divBdr>
            <w:top w:val="none" w:sz="0" w:space="0" w:color="auto"/>
            <w:left w:val="none" w:sz="0" w:space="0" w:color="auto"/>
            <w:bottom w:val="none" w:sz="0" w:space="0" w:color="auto"/>
            <w:right w:val="none" w:sz="0" w:space="0" w:color="auto"/>
          </w:divBdr>
          <w:divsChild>
            <w:div w:id="10956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17894">
      <w:bodyDiv w:val="1"/>
      <w:marLeft w:val="0"/>
      <w:marRight w:val="0"/>
      <w:marTop w:val="0"/>
      <w:marBottom w:val="0"/>
      <w:divBdr>
        <w:top w:val="none" w:sz="0" w:space="0" w:color="auto"/>
        <w:left w:val="none" w:sz="0" w:space="0" w:color="auto"/>
        <w:bottom w:val="none" w:sz="0" w:space="0" w:color="auto"/>
        <w:right w:val="none" w:sz="0" w:space="0" w:color="auto"/>
      </w:divBdr>
    </w:div>
    <w:div w:id="21218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CF343-05F8-4505-9F65-F9D44079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1942</Words>
  <Characters>10687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Poder Judicial de la Nacion</cp:lastModifiedBy>
  <cp:revision>4</cp:revision>
  <dcterms:created xsi:type="dcterms:W3CDTF">2019-09-11T19:58:00Z</dcterms:created>
  <dcterms:modified xsi:type="dcterms:W3CDTF">2019-09-11T19:58:00Z</dcterms:modified>
</cp:coreProperties>
</file>