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2C" w:rsidRPr="001678E5" w:rsidRDefault="0014332C" w:rsidP="001678E5">
      <w:pPr>
        <w:pStyle w:val="Textonotapie"/>
        <w:spacing w:after="0"/>
        <w:jc w:val="center"/>
        <w:rPr>
          <w:rFonts w:ascii="Times New Roman" w:hAnsi="Times New Roman"/>
          <w:b/>
          <w:color w:val="000000"/>
          <w:sz w:val="24"/>
          <w:szCs w:val="24"/>
        </w:rPr>
      </w:pPr>
    </w:p>
    <w:p w:rsidR="00C014A6" w:rsidRPr="001678E5" w:rsidRDefault="00AB012E" w:rsidP="001678E5">
      <w:pPr>
        <w:pStyle w:val="Textonotapie"/>
        <w:spacing w:after="0"/>
        <w:jc w:val="center"/>
        <w:rPr>
          <w:rFonts w:ascii="Times New Roman" w:hAnsi="Times New Roman"/>
          <w:b/>
          <w:color w:val="000000"/>
          <w:sz w:val="24"/>
          <w:szCs w:val="24"/>
        </w:rPr>
      </w:pPr>
      <w:r w:rsidRPr="001678E5">
        <w:rPr>
          <w:rFonts w:ascii="Times New Roman" w:hAnsi="Times New Roman"/>
          <w:b/>
          <w:color w:val="000000"/>
          <w:sz w:val="24"/>
          <w:szCs w:val="24"/>
        </w:rPr>
        <w:t>LA ACCIÓN DECLARATIVA DE INCONSTITUCIONALIDAD</w:t>
      </w:r>
    </w:p>
    <w:p w:rsidR="00AB012E" w:rsidRPr="001678E5" w:rsidRDefault="00AB012E" w:rsidP="001678E5">
      <w:pPr>
        <w:pStyle w:val="Textonotapie"/>
        <w:spacing w:after="0"/>
        <w:jc w:val="center"/>
        <w:rPr>
          <w:rFonts w:ascii="Times New Roman" w:hAnsi="Times New Roman"/>
          <w:b/>
          <w:color w:val="000000"/>
          <w:sz w:val="24"/>
          <w:szCs w:val="24"/>
        </w:rPr>
      </w:pPr>
      <w:r w:rsidRPr="001678E5">
        <w:rPr>
          <w:rFonts w:ascii="Times New Roman" w:hAnsi="Times New Roman"/>
          <w:b/>
          <w:color w:val="000000"/>
          <w:sz w:val="24"/>
          <w:szCs w:val="24"/>
        </w:rPr>
        <w:t>Estudio cuantitativo</w:t>
      </w:r>
    </w:p>
    <w:p w:rsidR="00C014A6" w:rsidRPr="001678E5" w:rsidRDefault="00C014A6" w:rsidP="001678E5">
      <w:pPr>
        <w:pStyle w:val="Textonotapie"/>
        <w:spacing w:after="0"/>
        <w:jc w:val="center"/>
        <w:rPr>
          <w:rFonts w:ascii="Times New Roman" w:hAnsi="Times New Roman"/>
          <w:b/>
          <w:color w:val="000000"/>
          <w:sz w:val="24"/>
          <w:szCs w:val="24"/>
        </w:rPr>
      </w:pPr>
    </w:p>
    <w:p w:rsidR="00547796" w:rsidRPr="001678E5" w:rsidRDefault="00547796" w:rsidP="001678E5">
      <w:pPr>
        <w:pStyle w:val="Textonotapie"/>
        <w:spacing w:after="0"/>
        <w:jc w:val="right"/>
        <w:rPr>
          <w:rFonts w:ascii="Times New Roman" w:hAnsi="Times New Roman"/>
          <w:b/>
          <w:i/>
          <w:color w:val="000000"/>
          <w:sz w:val="24"/>
          <w:szCs w:val="24"/>
        </w:rPr>
      </w:pPr>
      <w:proofErr w:type="gramStart"/>
      <w:r w:rsidRPr="001678E5">
        <w:rPr>
          <w:rFonts w:ascii="Times New Roman" w:hAnsi="Times New Roman"/>
          <w:b/>
          <w:i/>
          <w:color w:val="000000"/>
          <w:sz w:val="24"/>
          <w:szCs w:val="24"/>
        </w:rPr>
        <w:t>por</w:t>
      </w:r>
      <w:proofErr w:type="gramEnd"/>
      <w:r w:rsidRPr="001678E5">
        <w:rPr>
          <w:rFonts w:ascii="Times New Roman" w:hAnsi="Times New Roman"/>
          <w:b/>
          <w:i/>
          <w:color w:val="000000"/>
          <w:sz w:val="24"/>
          <w:szCs w:val="24"/>
        </w:rPr>
        <w:t xml:space="preserve"> Javier Indalecio Barraza</w:t>
      </w:r>
      <w:r w:rsidR="005927D1" w:rsidRPr="001678E5">
        <w:rPr>
          <w:rFonts w:ascii="Times New Roman" w:hAnsi="Times New Roman"/>
          <w:b/>
          <w:i/>
          <w:color w:val="000000"/>
          <w:sz w:val="24"/>
          <w:szCs w:val="24"/>
        </w:rPr>
        <w:t xml:space="preserve"> </w:t>
      </w:r>
      <w:r w:rsidR="005927D1" w:rsidRPr="001678E5">
        <w:rPr>
          <w:rStyle w:val="Refdenotaalpie"/>
          <w:rFonts w:ascii="Times New Roman" w:hAnsi="Times New Roman"/>
          <w:b/>
          <w:i/>
          <w:color w:val="000000"/>
          <w:sz w:val="24"/>
          <w:szCs w:val="24"/>
        </w:rPr>
        <w:footnoteReference w:id="1"/>
      </w:r>
    </w:p>
    <w:p w:rsidR="00547796" w:rsidRPr="001678E5" w:rsidRDefault="00547796" w:rsidP="001678E5">
      <w:pPr>
        <w:pStyle w:val="Textonotapie"/>
        <w:spacing w:after="0"/>
        <w:jc w:val="center"/>
        <w:rPr>
          <w:rFonts w:ascii="Times New Roman" w:hAnsi="Times New Roman"/>
          <w:b/>
          <w:color w:val="000000"/>
          <w:sz w:val="24"/>
          <w:szCs w:val="24"/>
        </w:rPr>
      </w:pPr>
    </w:p>
    <w:p w:rsidR="007B1628" w:rsidRPr="001678E5" w:rsidRDefault="007B1628" w:rsidP="001678E5">
      <w:pPr>
        <w:pStyle w:val="Textonotapie"/>
        <w:spacing w:after="0"/>
        <w:jc w:val="center"/>
        <w:rPr>
          <w:rFonts w:ascii="Times New Roman" w:hAnsi="Times New Roman"/>
          <w:b/>
          <w:color w:val="000000"/>
          <w:sz w:val="24"/>
          <w:szCs w:val="24"/>
        </w:rPr>
      </w:pPr>
    </w:p>
    <w:p w:rsidR="007D414E" w:rsidRPr="001678E5" w:rsidRDefault="007D414E"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El derecho </w:t>
      </w:r>
      <w:r w:rsidR="003431E8" w:rsidRPr="001678E5">
        <w:rPr>
          <w:rFonts w:ascii="Times New Roman" w:hAnsi="Times New Roman"/>
          <w:color w:val="000000"/>
          <w:sz w:val="24"/>
          <w:szCs w:val="24"/>
        </w:rPr>
        <w:t xml:space="preserve">incide en todos los ámbitos, por lo que es </w:t>
      </w:r>
      <w:r w:rsidRPr="001678E5">
        <w:rPr>
          <w:rFonts w:ascii="Times New Roman" w:hAnsi="Times New Roman"/>
          <w:color w:val="000000"/>
          <w:sz w:val="24"/>
          <w:szCs w:val="24"/>
        </w:rPr>
        <w:t>el eje de la vida social.</w:t>
      </w:r>
      <w:r w:rsidR="0038210E" w:rsidRPr="001678E5">
        <w:rPr>
          <w:rFonts w:ascii="Times New Roman" w:hAnsi="Times New Roman"/>
          <w:color w:val="000000"/>
          <w:sz w:val="24"/>
          <w:szCs w:val="24"/>
        </w:rPr>
        <w:t xml:space="preserve"> Para decirlo de otro modo, </w:t>
      </w:r>
      <w:r w:rsidR="006F1A00" w:rsidRPr="001678E5">
        <w:rPr>
          <w:rFonts w:ascii="Times New Roman" w:hAnsi="Times New Roman"/>
          <w:color w:val="000000"/>
          <w:sz w:val="24"/>
          <w:szCs w:val="24"/>
        </w:rPr>
        <w:t>todas las actividades están regidas por aquel.</w:t>
      </w:r>
      <w:r w:rsidRPr="001678E5">
        <w:rPr>
          <w:rFonts w:ascii="Times New Roman" w:hAnsi="Times New Roman"/>
          <w:color w:val="000000"/>
          <w:sz w:val="24"/>
          <w:szCs w:val="24"/>
        </w:rPr>
        <w:t xml:space="preserve"> </w:t>
      </w:r>
    </w:p>
    <w:p w:rsidR="007D414E" w:rsidRPr="001678E5" w:rsidRDefault="007D414E"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Ahora bien ¿Cuál es el estado actual de la </w:t>
      </w:r>
      <w:r w:rsidR="006F1A00" w:rsidRPr="001678E5">
        <w:rPr>
          <w:rFonts w:ascii="Times New Roman" w:hAnsi="Times New Roman"/>
          <w:color w:val="000000"/>
          <w:sz w:val="24"/>
          <w:szCs w:val="24"/>
        </w:rPr>
        <w:t>referida ciencia</w:t>
      </w:r>
      <w:r w:rsidR="00512F9D" w:rsidRPr="001678E5">
        <w:rPr>
          <w:rFonts w:ascii="Times New Roman" w:hAnsi="Times New Roman"/>
          <w:color w:val="000000"/>
          <w:sz w:val="24"/>
          <w:szCs w:val="24"/>
        </w:rPr>
        <w:t xml:space="preserve"> en la Argentina, </w:t>
      </w:r>
      <w:r w:rsidRPr="001678E5">
        <w:rPr>
          <w:rFonts w:ascii="Times New Roman" w:hAnsi="Times New Roman"/>
          <w:color w:val="000000"/>
          <w:sz w:val="24"/>
          <w:szCs w:val="24"/>
        </w:rPr>
        <w:t xml:space="preserve">en particular en la Ciudad de Buenos Aires? Para </w:t>
      </w:r>
      <w:r w:rsidR="00512F9D" w:rsidRPr="001678E5">
        <w:rPr>
          <w:rFonts w:ascii="Times New Roman" w:hAnsi="Times New Roman"/>
          <w:color w:val="000000"/>
          <w:sz w:val="24"/>
          <w:szCs w:val="24"/>
        </w:rPr>
        <w:t xml:space="preserve">responder a esta pregunta es necesario </w:t>
      </w:r>
      <w:r w:rsidRPr="001678E5">
        <w:rPr>
          <w:rFonts w:ascii="Times New Roman" w:hAnsi="Times New Roman"/>
          <w:color w:val="000000"/>
          <w:sz w:val="24"/>
          <w:szCs w:val="24"/>
        </w:rPr>
        <w:t xml:space="preserve">observar sus instituciones, sus mecanismos de producción científica, la estructura y el sentido de sus productos. </w:t>
      </w:r>
    </w:p>
    <w:p w:rsidR="007D414E" w:rsidRPr="001678E5" w:rsidRDefault="00CE2D70"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Un dato revelador </w:t>
      </w:r>
      <w:r w:rsidR="001070FD" w:rsidRPr="001678E5">
        <w:rPr>
          <w:rFonts w:ascii="Times New Roman" w:hAnsi="Times New Roman"/>
          <w:color w:val="000000"/>
          <w:sz w:val="24"/>
          <w:szCs w:val="24"/>
        </w:rPr>
        <w:t xml:space="preserve">del estado de la ciencia jurídica </w:t>
      </w:r>
      <w:r w:rsidR="00E723D5" w:rsidRPr="001678E5">
        <w:rPr>
          <w:rFonts w:ascii="Times New Roman" w:hAnsi="Times New Roman"/>
          <w:color w:val="000000"/>
          <w:sz w:val="24"/>
          <w:szCs w:val="24"/>
        </w:rPr>
        <w:t xml:space="preserve">en el ámbito local </w:t>
      </w:r>
      <w:r w:rsidR="0037698A" w:rsidRPr="001678E5">
        <w:rPr>
          <w:rFonts w:ascii="Times New Roman" w:hAnsi="Times New Roman"/>
          <w:color w:val="000000"/>
          <w:sz w:val="24"/>
          <w:szCs w:val="24"/>
        </w:rPr>
        <w:t>surge</w:t>
      </w:r>
      <w:r w:rsidRPr="001678E5">
        <w:rPr>
          <w:rFonts w:ascii="Times New Roman" w:hAnsi="Times New Roman"/>
          <w:color w:val="000000"/>
          <w:sz w:val="24"/>
          <w:szCs w:val="24"/>
        </w:rPr>
        <w:t xml:space="preserve"> </w:t>
      </w:r>
      <w:r w:rsidR="001070FD" w:rsidRPr="001678E5">
        <w:rPr>
          <w:rFonts w:ascii="Times New Roman" w:hAnsi="Times New Roman"/>
          <w:color w:val="000000"/>
          <w:sz w:val="24"/>
          <w:szCs w:val="24"/>
        </w:rPr>
        <w:t xml:space="preserve">de </w:t>
      </w:r>
      <w:r w:rsidRPr="001678E5">
        <w:rPr>
          <w:rFonts w:ascii="Times New Roman" w:hAnsi="Times New Roman"/>
          <w:color w:val="000000"/>
          <w:sz w:val="24"/>
          <w:szCs w:val="24"/>
        </w:rPr>
        <w:t>la acción declarativa de inconstitucionalidad</w:t>
      </w:r>
      <w:r w:rsidR="004E3F97" w:rsidRPr="001678E5">
        <w:rPr>
          <w:rFonts w:ascii="Times New Roman" w:hAnsi="Times New Roman"/>
          <w:color w:val="000000"/>
          <w:sz w:val="24"/>
          <w:szCs w:val="24"/>
        </w:rPr>
        <w:t xml:space="preserve"> (ADI)</w:t>
      </w:r>
      <w:r w:rsidR="00B51F12" w:rsidRPr="001678E5">
        <w:rPr>
          <w:rFonts w:ascii="Times New Roman" w:hAnsi="Times New Roman"/>
          <w:color w:val="000000"/>
          <w:sz w:val="24"/>
          <w:szCs w:val="24"/>
        </w:rPr>
        <w:t>. Para ello, debemos recurrir a un producto científico:</w:t>
      </w:r>
      <w:r w:rsidRPr="001678E5">
        <w:rPr>
          <w:rFonts w:ascii="Times New Roman" w:hAnsi="Times New Roman"/>
          <w:color w:val="000000"/>
          <w:sz w:val="24"/>
          <w:szCs w:val="24"/>
        </w:rPr>
        <w:t xml:space="preserve"> los fallos del Tribunal Superior de Ju</w:t>
      </w:r>
      <w:r w:rsidR="00B51F12" w:rsidRPr="001678E5">
        <w:rPr>
          <w:rFonts w:ascii="Times New Roman" w:hAnsi="Times New Roman"/>
          <w:color w:val="000000"/>
          <w:sz w:val="24"/>
          <w:szCs w:val="24"/>
        </w:rPr>
        <w:t>sticia</w:t>
      </w:r>
      <w:r w:rsidR="00E723D5" w:rsidRPr="001678E5">
        <w:rPr>
          <w:rFonts w:ascii="Times New Roman" w:hAnsi="Times New Roman"/>
          <w:color w:val="000000"/>
          <w:sz w:val="24"/>
          <w:szCs w:val="24"/>
        </w:rPr>
        <w:t xml:space="preserve"> (TSJ)</w:t>
      </w:r>
      <w:r w:rsidR="00B51F12" w:rsidRPr="001678E5">
        <w:rPr>
          <w:rFonts w:ascii="Times New Roman" w:hAnsi="Times New Roman"/>
          <w:color w:val="000000"/>
          <w:sz w:val="24"/>
          <w:szCs w:val="24"/>
        </w:rPr>
        <w:t xml:space="preserve">, analizar </w:t>
      </w:r>
      <w:r w:rsidR="00756B5F" w:rsidRPr="001678E5">
        <w:rPr>
          <w:rFonts w:ascii="Times New Roman" w:hAnsi="Times New Roman"/>
          <w:color w:val="000000"/>
          <w:sz w:val="24"/>
          <w:szCs w:val="24"/>
        </w:rPr>
        <w:t>la</w:t>
      </w:r>
      <w:r w:rsidR="00B51F12" w:rsidRPr="001678E5">
        <w:rPr>
          <w:rFonts w:ascii="Times New Roman" w:hAnsi="Times New Roman"/>
          <w:color w:val="000000"/>
          <w:sz w:val="24"/>
          <w:szCs w:val="24"/>
        </w:rPr>
        <w:t xml:space="preserve"> estructura </w:t>
      </w:r>
      <w:r w:rsidR="00756B5F" w:rsidRPr="001678E5">
        <w:rPr>
          <w:rFonts w:ascii="Times New Roman" w:hAnsi="Times New Roman"/>
          <w:color w:val="000000"/>
          <w:sz w:val="24"/>
          <w:szCs w:val="24"/>
        </w:rPr>
        <w:t xml:space="preserve">de esas decisiones </w:t>
      </w:r>
      <w:r w:rsidR="00B51F12" w:rsidRPr="001678E5">
        <w:rPr>
          <w:rFonts w:ascii="Times New Roman" w:hAnsi="Times New Roman"/>
          <w:color w:val="000000"/>
          <w:sz w:val="24"/>
          <w:szCs w:val="24"/>
        </w:rPr>
        <w:t xml:space="preserve">y examinar el sentido de </w:t>
      </w:r>
      <w:r w:rsidR="00756B5F" w:rsidRPr="001678E5">
        <w:rPr>
          <w:rFonts w:ascii="Times New Roman" w:hAnsi="Times New Roman"/>
          <w:color w:val="000000"/>
          <w:sz w:val="24"/>
          <w:szCs w:val="24"/>
        </w:rPr>
        <w:t>tales pronunciamientos</w:t>
      </w:r>
      <w:r w:rsidR="00B51F12" w:rsidRPr="001678E5">
        <w:rPr>
          <w:rFonts w:ascii="Times New Roman" w:hAnsi="Times New Roman"/>
          <w:color w:val="000000"/>
          <w:sz w:val="24"/>
          <w:szCs w:val="24"/>
        </w:rPr>
        <w:t>.</w:t>
      </w:r>
    </w:p>
    <w:p w:rsidR="00CE2D70" w:rsidRPr="001678E5" w:rsidRDefault="00CE2D70"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¿Cuál ha sido l</w:t>
      </w:r>
      <w:r w:rsidR="0037698A" w:rsidRPr="001678E5">
        <w:rPr>
          <w:rFonts w:ascii="Times New Roman" w:hAnsi="Times New Roman"/>
          <w:color w:val="000000"/>
          <w:sz w:val="24"/>
          <w:szCs w:val="24"/>
        </w:rPr>
        <w:t>a epistemología que ha guiado al T</w:t>
      </w:r>
      <w:r w:rsidR="00E723D5" w:rsidRPr="001678E5">
        <w:rPr>
          <w:rFonts w:ascii="Times New Roman" w:hAnsi="Times New Roman"/>
          <w:color w:val="000000"/>
          <w:sz w:val="24"/>
          <w:szCs w:val="24"/>
        </w:rPr>
        <w:t>SJ</w:t>
      </w:r>
      <w:r w:rsidR="0037698A" w:rsidRPr="001678E5">
        <w:rPr>
          <w:rFonts w:ascii="Times New Roman" w:hAnsi="Times New Roman"/>
          <w:color w:val="000000"/>
          <w:sz w:val="24"/>
          <w:szCs w:val="24"/>
        </w:rPr>
        <w:t xml:space="preserve"> </w:t>
      </w:r>
      <w:r w:rsidRPr="001678E5">
        <w:rPr>
          <w:rFonts w:ascii="Times New Roman" w:hAnsi="Times New Roman"/>
          <w:color w:val="000000"/>
          <w:sz w:val="24"/>
          <w:szCs w:val="24"/>
        </w:rPr>
        <w:t xml:space="preserve">para contribuir al desarrollo o estancamiento de esta acción? </w:t>
      </w:r>
      <w:r w:rsidR="00B51F12" w:rsidRPr="001678E5">
        <w:rPr>
          <w:rFonts w:ascii="Times New Roman" w:hAnsi="Times New Roman"/>
          <w:color w:val="000000"/>
          <w:sz w:val="24"/>
          <w:szCs w:val="24"/>
        </w:rPr>
        <w:t>¿</w:t>
      </w:r>
      <w:r w:rsidR="0037698A" w:rsidRPr="001678E5">
        <w:rPr>
          <w:rFonts w:ascii="Times New Roman" w:hAnsi="Times New Roman"/>
          <w:color w:val="000000"/>
          <w:sz w:val="24"/>
          <w:szCs w:val="24"/>
        </w:rPr>
        <w:t>Qué política ha adoptado el referido Tribunal</w:t>
      </w:r>
      <w:r w:rsidR="00B51F12" w:rsidRPr="001678E5">
        <w:rPr>
          <w:rFonts w:ascii="Times New Roman" w:hAnsi="Times New Roman"/>
          <w:color w:val="000000"/>
          <w:sz w:val="24"/>
          <w:szCs w:val="24"/>
        </w:rPr>
        <w:t xml:space="preserve"> respecto de sus productos científicos? En definitiva, </w:t>
      </w:r>
      <w:r w:rsidR="004E3F97" w:rsidRPr="001678E5">
        <w:rPr>
          <w:rFonts w:ascii="Times New Roman" w:hAnsi="Times New Roman"/>
          <w:color w:val="000000"/>
          <w:sz w:val="24"/>
          <w:szCs w:val="24"/>
        </w:rPr>
        <w:t xml:space="preserve">de </w:t>
      </w:r>
      <w:r w:rsidR="00B51F12" w:rsidRPr="001678E5">
        <w:rPr>
          <w:rFonts w:ascii="Times New Roman" w:hAnsi="Times New Roman"/>
          <w:color w:val="000000"/>
          <w:sz w:val="24"/>
          <w:szCs w:val="24"/>
        </w:rPr>
        <w:t xml:space="preserve">la política de la ciencia que se adopte depende la filosofía que inspire a sus operadores. </w:t>
      </w:r>
      <w:r w:rsidR="00E723D5" w:rsidRPr="001678E5">
        <w:rPr>
          <w:rFonts w:ascii="Times New Roman" w:hAnsi="Times New Roman"/>
          <w:color w:val="000000"/>
          <w:sz w:val="24"/>
          <w:szCs w:val="24"/>
        </w:rPr>
        <w:t xml:space="preserve">Cabe recordar, </w:t>
      </w:r>
      <w:r w:rsidR="004E3F97" w:rsidRPr="001678E5">
        <w:rPr>
          <w:rFonts w:ascii="Times New Roman" w:hAnsi="Times New Roman"/>
          <w:color w:val="000000"/>
          <w:sz w:val="24"/>
          <w:szCs w:val="24"/>
        </w:rPr>
        <w:t xml:space="preserve">que una filosofía idealista concebirá a la ADI como una torre de marfil; una filosofía empirista fomentará la investigación experimental sin guía teórica y una filosofía pragmática menospreciará los contenidos teóricos. </w:t>
      </w:r>
    </w:p>
    <w:p w:rsidR="00B51F12" w:rsidRPr="001678E5" w:rsidRDefault="00B51F12"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lastRenderedPageBreak/>
        <w:t xml:space="preserve">En el caso, solamente una epistemología equilibrada fomentará el desarrollo de esta acción. De ahí, la importancia de conocer </w:t>
      </w:r>
      <w:r w:rsidR="00E723D5" w:rsidRPr="001678E5">
        <w:rPr>
          <w:rFonts w:ascii="Times New Roman" w:hAnsi="Times New Roman"/>
          <w:color w:val="000000"/>
          <w:sz w:val="24"/>
          <w:szCs w:val="24"/>
        </w:rPr>
        <w:t>estas cuestiones</w:t>
      </w:r>
      <w:r w:rsidRPr="001678E5">
        <w:rPr>
          <w:rFonts w:ascii="Times New Roman" w:hAnsi="Times New Roman"/>
          <w:color w:val="000000"/>
          <w:sz w:val="24"/>
          <w:szCs w:val="24"/>
        </w:rPr>
        <w:t>.</w:t>
      </w:r>
    </w:p>
    <w:p w:rsidR="00D00E94" w:rsidRPr="001678E5" w:rsidRDefault="00D00E94" w:rsidP="001678E5">
      <w:pPr>
        <w:pStyle w:val="Textonotapie"/>
        <w:spacing w:after="0"/>
        <w:ind w:firstLine="709"/>
        <w:jc w:val="both"/>
        <w:rPr>
          <w:rFonts w:ascii="Times New Roman" w:hAnsi="Times New Roman"/>
          <w:color w:val="000000"/>
          <w:sz w:val="24"/>
          <w:szCs w:val="24"/>
        </w:rPr>
      </w:pP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La acción declarativa de inconstitucionalidad</w:t>
      </w:r>
      <w:r w:rsidRPr="001678E5">
        <w:rPr>
          <w:rStyle w:val="Refdenotaalpie"/>
          <w:rFonts w:ascii="Times New Roman" w:hAnsi="Times New Roman" w:cs="Times New Roman"/>
          <w:szCs w:val="24"/>
        </w:rPr>
        <w:footnoteReference w:id="2"/>
      </w:r>
      <w:r w:rsidRPr="001678E5">
        <w:rPr>
          <w:rFonts w:ascii="Times New Roman" w:hAnsi="Times New Roman" w:cs="Times New Roman"/>
          <w:szCs w:val="24"/>
        </w:rPr>
        <w:t xml:space="preserve"> ha generado múltiples discusiones que van desde su inutilidad hasta aquellos que la consideran un instrumento solidario y altruista para fortalecer los sistemas de democracia participativa y la supremacía constitucional.</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Por otra parte, los estudios sobre aquella no proporcionan datos cuantitativos que nos permitan medir su utilización por los distintos sectores de la comunidad, grado de éxito, en fin numerosas cuestiones que deben ser medidas y dilucidadas.</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En otro orden de ideas, la utilización promiscua de esta acción por legisladores quienes no logran obtener los consensos necesarios en su ámbito específico, o por grupos empresarios para fines comerciales, ha hecho que el Tribunal Superior de Justicia optara por una fuerte restricción. En efecto, mediante mediciones cuantitativas, surge que el referido Tribunal en toda su existencia admitió solo trece acciones de las ciento ochenta dos que se han interpuesto. Para ser más claro, se ha realizado una medición desde el 1° de febrero de 1999 (inicio de las actividades del Tribunal) hasta el 1° de junio de 2015. Es decir, en 16 años, tan solo se hicieron lugar a 7,14% de las acciones.</w:t>
      </w:r>
    </w:p>
    <w:p w:rsidR="00EB761E" w:rsidRPr="001678E5" w:rsidRDefault="00EB761E" w:rsidP="001678E5">
      <w:pPr>
        <w:spacing w:after="0"/>
        <w:rPr>
          <w:rFonts w:ascii="Times New Roman" w:hAnsi="Times New Roman" w:cs="Times New Roman"/>
          <w:b/>
          <w:szCs w:val="24"/>
        </w:rPr>
      </w:pPr>
    </w:p>
    <w:p w:rsidR="00EB761E" w:rsidRPr="001678E5" w:rsidRDefault="00EB761E" w:rsidP="001678E5">
      <w:pPr>
        <w:pStyle w:val="Ttulo1"/>
        <w:rPr>
          <w:rFonts w:ascii="Times New Roman" w:hAnsi="Times New Roman"/>
          <w:b w:val="0"/>
          <w:bCs w:val="0"/>
          <w:sz w:val="24"/>
          <w:szCs w:val="24"/>
        </w:rPr>
      </w:pPr>
      <w:r w:rsidRPr="001678E5">
        <w:rPr>
          <w:rFonts w:ascii="Times New Roman" w:hAnsi="Times New Roman"/>
          <w:sz w:val="24"/>
          <w:szCs w:val="24"/>
        </w:rPr>
        <w:t>CONCEPTO</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La acción declarativa de inconstitucionalidad es un instrumento jurídico concedido al ciudadano común para que pueda impugnar cualquier norma contraria a las disposiciones de la Constitución.</w:t>
      </w:r>
    </w:p>
    <w:p w:rsidR="00EB761E" w:rsidRPr="001678E5" w:rsidRDefault="00EB761E" w:rsidP="001678E5">
      <w:pPr>
        <w:spacing w:after="0"/>
        <w:ind w:firstLine="1418"/>
        <w:jc w:val="both"/>
        <w:rPr>
          <w:rFonts w:ascii="Times New Roman" w:hAnsi="Times New Roman" w:cs="Times New Roman"/>
          <w:szCs w:val="24"/>
        </w:rPr>
      </w:pPr>
    </w:p>
    <w:p w:rsidR="00EB761E" w:rsidRPr="001678E5" w:rsidRDefault="00EB761E" w:rsidP="001678E5">
      <w:pPr>
        <w:pStyle w:val="Ttulo1"/>
        <w:rPr>
          <w:rFonts w:ascii="Times New Roman" w:hAnsi="Times New Roman"/>
          <w:sz w:val="24"/>
          <w:szCs w:val="24"/>
        </w:rPr>
      </w:pPr>
      <w:r w:rsidRPr="001678E5">
        <w:rPr>
          <w:rFonts w:ascii="Times New Roman" w:hAnsi="Times New Roman"/>
          <w:sz w:val="24"/>
          <w:szCs w:val="24"/>
        </w:rPr>
        <w:t>FINALIDAD</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La finalidad de este tipo de acción </w:t>
      </w:r>
      <w:r w:rsidR="00C37E91" w:rsidRPr="001678E5">
        <w:rPr>
          <w:rFonts w:ascii="Times New Roman" w:hAnsi="Times New Roman" w:cs="Times New Roman"/>
          <w:szCs w:val="24"/>
        </w:rPr>
        <w:t>es:</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1) mantener la supremacía constitucional, </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2) crear conciencia constitucional</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3) fortalecer la democracia participativa y </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4) evitar la subsistencia y aplicación de normas contrarias al orden constitucional.</w:t>
      </w:r>
    </w:p>
    <w:p w:rsidR="00EB761E" w:rsidRPr="001678E5" w:rsidRDefault="00EB761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No obstante, estos fines no se han logrado, ya que el ciudadano común no interpone este tipo de acción, diría más aquel no está interesado en estas cuestiones</w:t>
      </w:r>
      <w:r w:rsidRPr="001678E5">
        <w:rPr>
          <w:rStyle w:val="Refdenotaalpie"/>
          <w:rFonts w:ascii="Times New Roman" w:hAnsi="Times New Roman" w:cs="Times New Roman"/>
          <w:szCs w:val="24"/>
        </w:rPr>
        <w:footnoteReference w:id="3"/>
      </w:r>
      <w:r w:rsidRPr="001678E5">
        <w:rPr>
          <w:rFonts w:ascii="Times New Roman" w:hAnsi="Times New Roman" w:cs="Times New Roman"/>
          <w:szCs w:val="24"/>
        </w:rPr>
        <w:t>. Se podría decir que la acción declarativa de inconstitucionalidad es un instrumento útil, pero no utilizable.</w:t>
      </w:r>
    </w:p>
    <w:p w:rsidR="00EB761E" w:rsidRPr="001678E5" w:rsidRDefault="00EB761E" w:rsidP="001678E5">
      <w:pPr>
        <w:spacing w:after="0"/>
        <w:ind w:firstLine="1418"/>
        <w:jc w:val="both"/>
        <w:rPr>
          <w:rFonts w:ascii="Times New Roman" w:hAnsi="Times New Roman" w:cs="Times New Roman"/>
          <w:color w:val="000000"/>
          <w:szCs w:val="24"/>
        </w:rPr>
      </w:pPr>
      <w:r w:rsidRPr="001678E5">
        <w:rPr>
          <w:rFonts w:ascii="Times New Roman" w:hAnsi="Times New Roman" w:cs="Times New Roman"/>
          <w:szCs w:val="24"/>
        </w:rPr>
        <w:t xml:space="preserve">En el presente trabajo, </w:t>
      </w:r>
      <w:r w:rsidR="00C37E91" w:rsidRPr="001678E5">
        <w:rPr>
          <w:rFonts w:ascii="Times New Roman" w:hAnsi="Times New Roman" w:cs="Times New Roman"/>
          <w:szCs w:val="24"/>
        </w:rPr>
        <w:t>mostraré mediante datos cuantitativos</w:t>
      </w:r>
      <w:r w:rsidRPr="001678E5">
        <w:rPr>
          <w:rFonts w:ascii="Times New Roman" w:hAnsi="Times New Roman" w:cs="Times New Roman"/>
          <w:szCs w:val="24"/>
        </w:rPr>
        <w:t xml:space="preserve">, que el ciudadano común no utiliza esta acción. </w:t>
      </w:r>
      <w:r w:rsidR="00C37E91" w:rsidRPr="001678E5">
        <w:rPr>
          <w:rFonts w:ascii="Times New Roman" w:hAnsi="Times New Roman" w:cs="Times New Roman"/>
          <w:szCs w:val="24"/>
        </w:rPr>
        <w:t>Diría más no está interesado en esta cuestión. Por otra parte, l</w:t>
      </w:r>
      <w:r w:rsidRPr="001678E5">
        <w:rPr>
          <w:rFonts w:ascii="Times New Roman" w:hAnsi="Times New Roman" w:cs="Times New Roman"/>
          <w:szCs w:val="24"/>
        </w:rPr>
        <w:t>a utilización de esta acción ha sido utilizada por políticos, corporaciones empresarias, o profesionales, y siempre guiados por un interés patrimonial o personal.</w:t>
      </w:r>
    </w:p>
    <w:p w:rsidR="00EB761E" w:rsidRPr="001678E5" w:rsidRDefault="00EB761E" w:rsidP="001678E5">
      <w:pPr>
        <w:pStyle w:val="Textonotapie"/>
        <w:spacing w:after="0"/>
        <w:ind w:firstLine="1418"/>
        <w:jc w:val="both"/>
        <w:rPr>
          <w:rFonts w:ascii="Times New Roman" w:hAnsi="Times New Roman"/>
          <w:color w:val="000000"/>
          <w:sz w:val="24"/>
          <w:szCs w:val="24"/>
        </w:rPr>
      </w:pPr>
    </w:p>
    <w:p w:rsidR="007D414E" w:rsidRPr="001678E5" w:rsidRDefault="007D414E" w:rsidP="001678E5">
      <w:pPr>
        <w:pStyle w:val="Ttulo1"/>
        <w:rPr>
          <w:rFonts w:ascii="Times New Roman" w:hAnsi="Times New Roman"/>
          <w:sz w:val="24"/>
          <w:szCs w:val="24"/>
        </w:rPr>
      </w:pPr>
      <w:r w:rsidRPr="001678E5">
        <w:rPr>
          <w:rFonts w:ascii="Times New Roman" w:hAnsi="Times New Roman"/>
          <w:sz w:val="24"/>
          <w:szCs w:val="24"/>
        </w:rPr>
        <w:t>EL MÉTODO</w:t>
      </w:r>
    </w:p>
    <w:p w:rsidR="002D6AE5" w:rsidRPr="001678E5" w:rsidRDefault="00C014A6" w:rsidP="001678E5">
      <w:pPr>
        <w:spacing w:after="0"/>
        <w:ind w:firstLine="1418"/>
        <w:rPr>
          <w:rFonts w:ascii="Times New Roman" w:hAnsi="Times New Roman" w:cs="Times New Roman"/>
          <w:szCs w:val="24"/>
        </w:rPr>
      </w:pPr>
      <w:r w:rsidRPr="001678E5">
        <w:rPr>
          <w:rFonts w:ascii="Times New Roman" w:hAnsi="Times New Roman" w:cs="Times New Roman"/>
          <w:szCs w:val="24"/>
        </w:rPr>
        <w:t xml:space="preserve">La acción declarativa de inconstitucionalidad </w:t>
      </w:r>
      <w:r w:rsidR="008932AC" w:rsidRPr="001678E5">
        <w:rPr>
          <w:rFonts w:ascii="Times New Roman" w:hAnsi="Times New Roman" w:cs="Times New Roman"/>
          <w:szCs w:val="24"/>
        </w:rPr>
        <w:t>ha sido estudiada mediante el método cualit</w:t>
      </w:r>
      <w:r w:rsidR="00847351" w:rsidRPr="001678E5">
        <w:rPr>
          <w:rFonts w:ascii="Times New Roman" w:hAnsi="Times New Roman" w:cs="Times New Roman"/>
          <w:szCs w:val="24"/>
        </w:rPr>
        <w:t>a</w:t>
      </w:r>
      <w:r w:rsidR="008932AC" w:rsidRPr="001678E5">
        <w:rPr>
          <w:rFonts w:ascii="Times New Roman" w:hAnsi="Times New Roman" w:cs="Times New Roman"/>
          <w:szCs w:val="24"/>
        </w:rPr>
        <w:t>tivo</w:t>
      </w:r>
      <w:r w:rsidR="00847351" w:rsidRPr="001678E5">
        <w:rPr>
          <w:rFonts w:ascii="Times New Roman" w:hAnsi="Times New Roman" w:cs="Times New Roman"/>
          <w:szCs w:val="24"/>
        </w:rPr>
        <w:t xml:space="preserve">. </w:t>
      </w:r>
      <w:r w:rsidR="00B27DA1" w:rsidRPr="001678E5">
        <w:rPr>
          <w:rFonts w:ascii="Times New Roman" w:hAnsi="Times New Roman" w:cs="Times New Roman"/>
          <w:szCs w:val="24"/>
        </w:rPr>
        <w:t xml:space="preserve">La abundante bibliografía, artículos y comentarios </w:t>
      </w:r>
      <w:r w:rsidR="0037698A" w:rsidRPr="001678E5">
        <w:rPr>
          <w:rFonts w:ascii="Times New Roman" w:hAnsi="Times New Roman" w:cs="Times New Roman"/>
          <w:szCs w:val="24"/>
        </w:rPr>
        <w:t>a</w:t>
      </w:r>
      <w:r w:rsidR="007A0AD2" w:rsidRPr="001678E5">
        <w:rPr>
          <w:rFonts w:ascii="Times New Roman" w:hAnsi="Times New Roman" w:cs="Times New Roman"/>
          <w:szCs w:val="24"/>
        </w:rPr>
        <w:t xml:space="preserve"> fallos</w:t>
      </w:r>
      <w:r w:rsidR="00B27DA1" w:rsidRPr="001678E5">
        <w:rPr>
          <w:rFonts w:ascii="Times New Roman" w:hAnsi="Times New Roman" w:cs="Times New Roman"/>
          <w:szCs w:val="24"/>
        </w:rPr>
        <w:t xml:space="preserve"> nos enseñan el modo </w:t>
      </w:r>
      <w:r w:rsidR="0037698A" w:rsidRPr="001678E5">
        <w:rPr>
          <w:rFonts w:ascii="Times New Roman" w:hAnsi="Times New Roman" w:cs="Times New Roman"/>
          <w:szCs w:val="24"/>
        </w:rPr>
        <w:t>de interponerla</w:t>
      </w:r>
      <w:r w:rsidR="00B27DA1" w:rsidRPr="001678E5">
        <w:rPr>
          <w:rFonts w:ascii="Times New Roman" w:hAnsi="Times New Roman" w:cs="Times New Roman"/>
          <w:szCs w:val="24"/>
        </w:rPr>
        <w:t>, la legitimación y los distintos avatares y vicisitudes que ha debido transitar el T</w:t>
      </w:r>
      <w:r w:rsidR="00E723D5" w:rsidRPr="001678E5">
        <w:rPr>
          <w:rFonts w:ascii="Times New Roman" w:hAnsi="Times New Roman" w:cs="Times New Roman"/>
          <w:szCs w:val="24"/>
        </w:rPr>
        <w:t>SJ</w:t>
      </w:r>
      <w:r w:rsidR="00B27DA1" w:rsidRPr="001678E5">
        <w:rPr>
          <w:rFonts w:ascii="Times New Roman" w:hAnsi="Times New Roman" w:cs="Times New Roman"/>
          <w:szCs w:val="24"/>
        </w:rPr>
        <w:t xml:space="preserve"> para modelar</w:t>
      </w:r>
      <w:r w:rsidR="0037698A" w:rsidRPr="001678E5">
        <w:rPr>
          <w:rFonts w:ascii="Times New Roman" w:hAnsi="Times New Roman" w:cs="Times New Roman"/>
          <w:szCs w:val="24"/>
        </w:rPr>
        <w:t>la</w:t>
      </w:r>
      <w:r w:rsidR="00B27DA1" w:rsidRPr="001678E5">
        <w:rPr>
          <w:rFonts w:ascii="Times New Roman" w:hAnsi="Times New Roman" w:cs="Times New Roman"/>
          <w:szCs w:val="24"/>
        </w:rPr>
        <w:t xml:space="preserve"> con los perfiles actuales.</w:t>
      </w:r>
      <w:r w:rsidR="00847351" w:rsidRPr="001678E5">
        <w:rPr>
          <w:rFonts w:ascii="Times New Roman" w:hAnsi="Times New Roman" w:cs="Times New Roman"/>
          <w:szCs w:val="24"/>
        </w:rPr>
        <w:t xml:space="preserve"> </w:t>
      </w:r>
    </w:p>
    <w:p w:rsidR="00B27DA1" w:rsidRPr="001678E5" w:rsidRDefault="00847351" w:rsidP="001678E5">
      <w:pPr>
        <w:spacing w:after="0"/>
        <w:ind w:firstLine="1418"/>
        <w:jc w:val="both"/>
        <w:rPr>
          <w:rFonts w:ascii="Times New Roman" w:hAnsi="Times New Roman" w:cs="Times New Roman"/>
          <w:color w:val="000000"/>
          <w:szCs w:val="24"/>
        </w:rPr>
      </w:pPr>
      <w:r w:rsidRPr="001678E5">
        <w:rPr>
          <w:rFonts w:ascii="Times New Roman" w:hAnsi="Times New Roman" w:cs="Times New Roman"/>
          <w:color w:val="000000"/>
          <w:szCs w:val="24"/>
        </w:rPr>
        <w:lastRenderedPageBreak/>
        <w:t xml:space="preserve">Por otra parte, los estudios </w:t>
      </w:r>
      <w:r w:rsidR="0037698A" w:rsidRPr="001678E5">
        <w:rPr>
          <w:rFonts w:ascii="Times New Roman" w:hAnsi="Times New Roman" w:cs="Times New Roman"/>
          <w:color w:val="000000"/>
          <w:szCs w:val="24"/>
        </w:rPr>
        <w:t xml:space="preserve">demuestran </w:t>
      </w:r>
      <w:r w:rsidR="009F0A51" w:rsidRPr="001678E5">
        <w:rPr>
          <w:rFonts w:ascii="Times New Roman" w:hAnsi="Times New Roman" w:cs="Times New Roman"/>
          <w:color w:val="000000"/>
          <w:szCs w:val="24"/>
        </w:rPr>
        <w:t>un fuerte sesgo positivista</w:t>
      </w:r>
      <w:r w:rsidR="00C56DB0" w:rsidRPr="001678E5">
        <w:rPr>
          <w:rFonts w:ascii="Times New Roman" w:hAnsi="Times New Roman" w:cs="Times New Roman"/>
          <w:color w:val="000000"/>
          <w:szCs w:val="24"/>
        </w:rPr>
        <w:t>, basados en las previsiones de la Constitución de la Ciudad de Buenos Aires y la ley 402 que regula esta acción.</w:t>
      </w:r>
      <w:r w:rsidR="008932AC" w:rsidRPr="001678E5">
        <w:rPr>
          <w:rFonts w:ascii="Times New Roman" w:hAnsi="Times New Roman" w:cs="Times New Roman"/>
          <w:color w:val="000000"/>
          <w:szCs w:val="24"/>
        </w:rPr>
        <w:t xml:space="preserve"> </w:t>
      </w:r>
    </w:p>
    <w:p w:rsidR="008932AC" w:rsidRPr="001678E5" w:rsidRDefault="00B27DA1"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Teniendo en cuenta tales circunstancias, </w:t>
      </w:r>
      <w:r w:rsidR="00C56DB0" w:rsidRPr="001678E5">
        <w:rPr>
          <w:rFonts w:ascii="Times New Roman" w:hAnsi="Times New Roman"/>
          <w:color w:val="000000"/>
          <w:sz w:val="24"/>
          <w:szCs w:val="24"/>
        </w:rPr>
        <w:t>e</w:t>
      </w:r>
      <w:r w:rsidRPr="001678E5">
        <w:rPr>
          <w:rFonts w:ascii="Times New Roman" w:hAnsi="Times New Roman"/>
          <w:color w:val="000000"/>
          <w:sz w:val="24"/>
          <w:szCs w:val="24"/>
        </w:rPr>
        <w:t xml:space="preserve">stimo que se debe realizar un estudio cuantitativo, </w:t>
      </w:r>
      <w:r w:rsidR="006021C6" w:rsidRPr="001678E5">
        <w:rPr>
          <w:rFonts w:ascii="Times New Roman" w:hAnsi="Times New Roman"/>
          <w:color w:val="000000"/>
          <w:sz w:val="24"/>
          <w:szCs w:val="24"/>
        </w:rPr>
        <w:t>a fin de disponer de cifras</w:t>
      </w:r>
      <w:r w:rsidRPr="001678E5">
        <w:rPr>
          <w:rFonts w:ascii="Times New Roman" w:hAnsi="Times New Roman"/>
          <w:color w:val="000000"/>
          <w:sz w:val="24"/>
          <w:szCs w:val="24"/>
        </w:rPr>
        <w:t xml:space="preserve"> rigurosas y exactas que nos permitan responder a estas preguntas:</w:t>
      </w:r>
    </w:p>
    <w:p w:rsidR="009F0A51" w:rsidRPr="001678E5" w:rsidRDefault="009F0A51"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¿Cuántas </w:t>
      </w:r>
      <w:r w:rsidR="0037698A" w:rsidRPr="001678E5">
        <w:rPr>
          <w:rFonts w:ascii="Times New Roman" w:hAnsi="Times New Roman"/>
          <w:color w:val="000000"/>
          <w:sz w:val="24"/>
          <w:szCs w:val="24"/>
        </w:rPr>
        <w:t>ADI</w:t>
      </w:r>
      <w:r w:rsidRPr="001678E5">
        <w:rPr>
          <w:rFonts w:ascii="Times New Roman" w:hAnsi="Times New Roman"/>
          <w:color w:val="000000"/>
          <w:sz w:val="24"/>
          <w:szCs w:val="24"/>
        </w:rPr>
        <w:t xml:space="preserve"> se </w:t>
      </w:r>
      <w:r w:rsidR="00512F9D" w:rsidRPr="001678E5">
        <w:rPr>
          <w:rFonts w:ascii="Times New Roman" w:hAnsi="Times New Roman"/>
          <w:color w:val="000000"/>
          <w:sz w:val="24"/>
          <w:szCs w:val="24"/>
        </w:rPr>
        <w:t>interpusieron</w:t>
      </w:r>
      <w:r w:rsidRPr="001678E5">
        <w:rPr>
          <w:rFonts w:ascii="Times New Roman" w:hAnsi="Times New Roman"/>
          <w:color w:val="000000"/>
          <w:sz w:val="24"/>
          <w:szCs w:val="24"/>
        </w:rPr>
        <w:t xml:space="preserve"> desde que inició sus funciones el Tribunal Superior de Justicia?</w:t>
      </w:r>
    </w:p>
    <w:p w:rsidR="009F0A51" w:rsidRPr="001678E5" w:rsidRDefault="009F0A51"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¿Cuántos ciudadanos comunes </w:t>
      </w:r>
      <w:r w:rsidR="0037698A" w:rsidRPr="001678E5">
        <w:rPr>
          <w:rFonts w:ascii="Times New Roman" w:hAnsi="Times New Roman"/>
          <w:color w:val="000000"/>
          <w:sz w:val="24"/>
          <w:szCs w:val="24"/>
        </w:rPr>
        <w:t>utilizaron esta herramienta jurídica</w:t>
      </w:r>
      <w:r w:rsidRPr="001678E5">
        <w:rPr>
          <w:rFonts w:ascii="Times New Roman" w:hAnsi="Times New Roman"/>
          <w:color w:val="000000"/>
          <w:sz w:val="24"/>
          <w:szCs w:val="24"/>
        </w:rPr>
        <w:t xml:space="preserve">? Me refiero a personas </w:t>
      </w:r>
      <w:r w:rsidR="00512F9D" w:rsidRPr="001678E5">
        <w:rPr>
          <w:rFonts w:ascii="Times New Roman" w:hAnsi="Times New Roman"/>
          <w:color w:val="000000"/>
          <w:sz w:val="24"/>
          <w:szCs w:val="24"/>
        </w:rPr>
        <w:t>sin cargos electivos</w:t>
      </w:r>
      <w:r w:rsidRPr="001678E5">
        <w:rPr>
          <w:rFonts w:ascii="Times New Roman" w:hAnsi="Times New Roman"/>
          <w:color w:val="000000"/>
          <w:sz w:val="24"/>
          <w:szCs w:val="24"/>
        </w:rPr>
        <w:t xml:space="preserve">, </w:t>
      </w:r>
      <w:r w:rsidR="0095216A" w:rsidRPr="001678E5">
        <w:rPr>
          <w:rFonts w:ascii="Times New Roman" w:hAnsi="Times New Roman"/>
          <w:color w:val="000000"/>
          <w:sz w:val="24"/>
          <w:szCs w:val="24"/>
        </w:rPr>
        <w:t>que no son profesionales o que no cuentan con posibilidades económicas o financieras</w:t>
      </w:r>
      <w:r w:rsidRPr="001678E5">
        <w:rPr>
          <w:rFonts w:ascii="Times New Roman" w:hAnsi="Times New Roman"/>
          <w:color w:val="000000"/>
          <w:sz w:val="24"/>
          <w:szCs w:val="24"/>
        </w:rPr>
        <w:t>.</w:t>
      </w:r>
    </w:p>
    <w:p w:rsidR="009F0A51" w:rsidRPr="001678E5" w:rsidRDefault="009F0A51"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¿Cuántos legisladores </w:t>
      </w:r>
      <w:r w:rsidR="0037698A" w:rsidRPr="001678E5">
        <w:rPr>
          <w:rFonts w:ascii="Times New Roman" w:hAnsi="Times New Roman"/>
          <w:color w:val="000000"/>
          <w:sz w:val="24"/>
          <w:szCs w:val="24"/>
        </w:rPr>
        <w:t>interpusieron</w:t>
      </w:r>
      <w:r w:rsidRPr="001678E5">
        <w:rPr>
          <w:rFonts w:ascii="Times New Roman" w:hAnsi="Times New Roman"/>
          <w:color w:val="000000"/>
          <w:sz w:val="24"/>
          <w:szCs w:val="24"/>
        </w:rPr>
        <w:t xml:space="preserve"> esta acción? </w:t>
      </w:r>
    </w:p>
    <w:p w:rsidR="009F0A51" w:rsidRPr="001678E5" w:rsidRDefault="009F0A51"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¿Cuántas empresas </w:t>
      </w:r>
      <w:r w:rsidR="0037698A" w:rsidRPr="001678E5">
        <w:rPr>
          <w:rFonts w:ascii="Times New Roman" w:hAnsi="Times New Roman"/>
          <w:color w:val="000000"/>
          <w:sz w:val="24"/>
          <w:szCs w:val="24"/>
        </w:rPr>
        <w:t>la utilizaron</w:t>
      </w:r>
      <w:r w:rsidR="00181005" w:rsidRPr="001678E5">
        <w:rPr>
          <w:rFonts w:ascii="Times New Roman" w:hAnsi="Times New Roman"/>
          <w:color w:val="000000"/>
          <w:sz w:val="24"/>
          <w:szCs w:val="24"/>
        </w:rPr>
        <w:t xml:space="preserve"> para la defensa de un interés propio</w:t>
      </w:r>
      <w:r w:rsidRPr="001678E5">
        <w:rPr>
          <w:rFonts w:ascii="Times New Roman" w:hAnsi="Times New Roman"/>
          <w:color w:val="000000"/>
          <w:sz w:val="24"/>
          <w:szCs w:val="24"/>
        </w:rPr>
        <w:t>?</w:t>
      </w:r>
      <w:r w:rsidR="00181005" w:rsidRPr="001678E5">
        <w:rPr>
          <w:rFonts w:ascii="Times New Roman" w:hAnsi="Times New Roman"/>
          <w:color w:val="000000"/>
          <w:sz w:val="24"/>
          <w:szCs w:val="24"/>
        </w:rPr>
        <w:t xml:space="preserve"> ¿Cuántas personas </w:t>
      </w:r>
      <w:r w:rsidR="00DD42E6" w:rsidRPr="001678E5">
        <w:rPr>
          <w:rFonts w:ascii="Times New Roman" w:hAnsi="Times New Roman"/>
          <w:color w:val="000000"/>
          <w:sz w:val="24"/>
          <w:szCs w:val="24"/>
        </w:rPr>
        <w:t xml:space="preserve">físicas presentaron esta acción </w:t>
      </w:r>
      <w:r w:rsidR="00181005" w:rsidRPr="001678E5">
        <w:rPr>
          <w:rFonts w:ascii="Times New Roman" w:hAnsi="Times New Roman"/>
          <w:color w:val="000000"/>
          <w:sz w:val="24"/>
          <w:szCs w:val="24"/>
        </w:rPr>
        <w:t>para gestionar algo de tipo personal?</w:t>
      </w:r>
    </w:p>
    <w:p w:rsidR="00547796" w:rsidRPr="001678E5" w:rsidRDefault="00547796"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¿Cuáles son los temas que mayoritariamente se debat</w:t>
      </w:r>
      <w:r w:rsidR="00DD42E6" w:rsidRPr="001678E5">
        <w:rPr>
          <w:rFonts w:ascii="Times New Roman" w:hAnsi="Times New Roman"/>
          <w:color w:val="000000"/>
          <w:sz w:val="24"/>
          <w:szCs w:val="24"/>
        </w:rPr>
        <w:t>ieron</w:t>
      </w:r>
      <w:r w:rsidRPr="001678E5">
        <w:rPr>
          <w:rFonts w:ascii="Times New Roman" w:hAnsi="Times New Roman"/>
          <w:color w:val="000000"/>
          <w:sz w:val="24"/>
          <w:szCs w:val="24"/>
        </w:rPr>
        <w:t xml:space="preserve"> en es</w:t>
      </w:r>
      <w:r w:rsidR="00DD42E6" w:rsidRPr="001678E5">
        <w:rPr>
          <w:rFonts w:ascii="Times New Roman" w:hAnsi="Times New Roman"/>
          <w:color w:val="000000"/>
          <w:sz w:val="24"/>
          <w:szCs w:val="24"/>
        </w:rPr>
        <w:t>as presentaciones</w:t>
      </w:r>
      <w:r w:rsidRPr="001678E5">
        <w:rPr>
          <w:rFonts w:ascii="Times New Roman" w:hAnsi="Times New Roman"/>
          <w:color w:val="000000"/>
          <w:sz w:val="24"/>
          <w:szCs w:val="24"/>
        </w:rPr>
        <w:t>?</w:t>
      </w:r>
    </w:p>
    <w:p w:rsidR="009F0A51" w:rsidRPr="001678E5" w:rsidRDefault="009F0A51"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En definitiva</w:t>
      </w:r>
      <w:r w:rsidR="00847351" w:rsidRPr="001678E5">
        <w:rPr>
          <w:rFonts w:ascii="Times New Roman" w:hAnsi="Times New Roman"/>
          <w:color w:val="000000"/>
          <w:sz w:val="24"/>
          <w:szCs w:val="24"/>
        </w:rPr>
        <w:t>,</w:t>
      </w:r>
      <w:r w:rsidRPr="001678E5">
        <w:rPr>
          <w:rFonts w:ascii="Times New Roman" w:hAnsi="Times New Roman"/>
          <w:color w:val="000000"/>
          <w:sz w:val="24"/>
          <w:szCs w:val="24"/>
        </w:rPr>
        <w:t xml:space="preserve"> ¿Ha sido útil esta acción para el ciudadano común o ha servido para que los legisladores </w:t>
      </w:r>
      <w:r w:rsidR="00847351" w:rsidRPr="001678E5">
        <w:rPr>
          <w:rFonts w:ascii="Times New Roman" w:hAnsi="Times New Roman"/>
          <w:color w:val="000000"/>
          <w:sz w:val="24"/>
          <w:szCs w:val="24"/>
        </w:rPr>
        <w:t>—</w:t>
      </w:r>
      <w:r w:rsidRPr="001678E5">
        <w:rPr>
          <w:rFonts w:ascii="Times New Roman" w:hAnsi="Times New Roman"/>
          <w:color w:val="000000"/>
          <w:sz w:val="24"/>
          <w:szCs w:val="24"/>
        </w:rPr>
        <w:t>cuando no logran los consensos necesarios en el ámbito específico</w:t>
      </w:r>
      <w:r w:rsidR="00847351" w:rsidRPr="001678E5">
        <w:rPr>
          <w:rFonts w:ascii="Times New Roman" w:hAnsi="Times New Roman"/>
          <w:color w:val="000000"/>
          <w:sz w:val="24"/>
          <w:szCs w:val="24"/>
        </w:rPr>
        <w:t>—</w:t>
      </w:r>
      <w:r w:rsidRPr="001678E5">
        <w:rPr>
          <w:rFonts w:ascii="Times New Roman" w:hAnsi="Times New Roman"/>
          <w:color w:val="000000"/>
          <w:sz w:val="24"/>
          <w:szCs w:val="24"/>
        </w:rPr>
        <w:t xml:space="preserve"> puedan cuestionar una ley?</w:t>
      </w:r>
    </w:p>
    <w:p w:rsidR="009F0A51" w:rsidRPr="001678E5" w:rsidRDefault="009F0A51"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¿Es necesaria esta acción para el ciudadano o ha sido una herramienta para que las </w:t>
      </w:r>
      <w:r w:rsidR="00F07061" w:rsidRPr="001678E5">
        <w:rPr>
          <w:rFonts w:ascii="Times New Roman" w:hAnsi="Times New Roman"/>
          <w:color w:val="000000"/>
          <w:sz w:val="24"/>
          <w:szCs w:val="24"/>
        </w:rPr>
        <w:t xml:space="preserve">empresas </w:t>
      </w:r>
      <w:r w:rsidRPr="001678E5">
        <w:rPr>
          <w:rFonts w:ascii="Times New Roman" w:hAnsi="Times New Roman"/>
          <w:color w:val="000000"/>
          <w:sz w:val="24"/>
          <w:szCs w:val="24"/>
        </w:rPr>
        <w:t>defiendan sus derechos?</w:t>
      </w:r>
    </w:p>
    <w:p w:rsidR="00C6070D" w:rsidRPr="001678E5" w:rsidRDefault="00C6070D"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¿Con el establecimiento de esta acción se fortalece el sistema democrático?</w:t>
      </w:r>
    </w:p>
    <w:p w:rsidR="008932AC" w:rsidRPr="001678E5" w:rsidRDefault="00DC53BF"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En suma, la falta de cifras nos impide hacer una medición exacta de esta acción.</w:t>
      </w:r>
      <w:r w:rsidR="003C58CA" w:rsidRPr="001678E5">
        <w:rPr>
          <w:rFonts w:ascii="Times New Roman" w:hAnsi="Times New Roman"/>
          <w:color w:val="000000"/>
          <w:sz w:val="24"/>
          <w:szCs w:val="24"/>
        </w:rPr>
        <w:t xml:space="preserve"> Lo que se impone es </w:t>
      </w:r>
      <w:r w:rsidR="00DD42E6" w:rsidRPr="001678E5">
        <w:rPr>
          <w:rFonts w:ascii="Times New Roman" w:hAnsi="Times New Roman"/>
          <w:color w:val="000000"/>
          <w:sz w:val="24"/>
          <w:szCs w:val="24"/>
        </w:rPr>
        <w:t xml:space="preserve">la </w:t>
      </w:r>
      <w:proofErr w:type="spellStart"/>
      <w:r w:rsidR="003C58CA" w:rsidRPr="001678E5">
        <w:rPr>
          <w:rFonts w:ascii="Times New Roman" w:hAnsi="Times New Roman"/>
          <w:color w:val="000000"/>
          <w:sz w:val="24"/>
          <w:szCs w:val="24"/>
        </w:rPr>
        <w:t>matematización</w:t>
      </w:r>
      <w:proofErr w:type="spellEnd"/>
      <w:r w:rsidR="003C58CA" w:rsidRPr="001678E5">
        <w:rPr>
          <w:rFonts w:ascii="Times New Roman" w:hAnsi="Times New Roman"/>
          <w:color w:val="000000"/>
          <w:sz w:val="24"/>
          <w:szCs w:val="24"/>
        </w:rPr>
        <w:t xml:space="preserve"> de las ciencias jurídicas.</w:t>
      </w:r>
    </w:p>
    <w:p w:rsidR="00DC53BF" w:rsidRPr="001678E5" w:rsidRDefault="00DC53BF"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lastRenderedPageBreak/>
        <w:t>Por otr</w:t>
      </w:r>
      <w:r w:rsidR="002061CB" w:rsidRPr="001678E5">
        <w:rPr>
          <w:rFonts w:ascii="Times New Roman" w:hAnsi="Times New Roman"/>
          <w:color w:val="000000"/>
          <w:sz w:val="24"/>
          <w:szCs w:val="24"/>
        </w:rPr>
        <w:t>o</w:t>
      </w:r>
      <w:r w:rsidRPr="001678E5">
        <w:rPr>
          <w:rFonts w:ascii="Times New Roman" w:hAnsi="Times New Roman"/>
          <w:color w:val="000000"/>
          <w:sz w:val="24"/>
          <w:szCs w:val="24"/>
        </w:rPr>
        <w:t xml:space="preserve"> </w:t>
      </w:r>
      <w:r w:rsidR="00195585" w:rsidRPr="001678E5">
        <w:rPr>
          <w:rFonts w:ascii="Times New Roman" w:hAnsi="Times New Roman"/>
          <w:color w:val="000000"/>
          <w:sz w:val="24"/>
          <w:szCs w:val="24"/>
        </w:rPr>
        <w:t>lado</w:t>
      </w:r>
      <w:r w:rsidRPr="001678E5">
        <w:rPr>
          <w:rFonts w:ascii="Times New Roman" w:hAnsi="Times New Roman"/>
          <w:color w:val="000000"/>
          <w:sz w:val="24"/>
          <w:szCs w:val="24"/>
        </w:rPr>
        <w:t>, la acción declarativa</w:t>
      </w:r>
      <w:r w:rsidR="002061CB" w:rsidRPr="001678E5">
        <w:rPr>
          <w:rFonts w:ascii="Times New Roman" w:hAnsi="Times New Roman"/>
          <w:color w:val="000000"/>
          <w:sz w:val="24"/>
          <w:szCs w:val="24"/>
        </w:rPr>
        <w:t xml:space="preserve"> de inconstitucionalidad</w:t>
      </w:r>
      <w:r w:rsidRPr="001678E5">
        <w:rPr>
          <w:rFonts w:ascii="Times New Roman" w:hAnsi="Times New Roman"/>
          <w:color w:val="000000"/>
          <w:sz w:val="24"/>
          <w:szCs w:val="24"/>
        </w:rPr>
        <w:t xml:space="preserve"> parte de una premisa</w:t>
      </w:r>
      <w:r w:rsidR="00195585" w:rsidRPr="001678E5">
        <w:rPr>
          <w:rFonts w:ascii="Times New Roman" w:hAnsi="Times New Roman"/>
          <w:color w:val="000000"/>
          <w:sz w:val="24"/>
          <w:szCs w:val="24"/>
        </w:rPr>
        <w:t xml:space="preserve"> </w:t>
      </w:r>
      <w:r w:rsidR="006021C6" w:rsidRPr="001678E5">
        <w:rPr>
          <w:rFonts w:ascii="Times New Roman" w:hAnsi="Times New Roman"/>
          <w:color w:val="000000"/>
          <w:sz w:val="24"/>
          <w:szCs w:val="24"/>
        </w:rPr>
        <w:t>dudosa</w:t>
      </w:r>
      <w:r w:rsidRPr="001678E5">
        <w:rPr>
          <w:rFonts w:ascii="Times New Roman" w:hAnsi="Times New Roman"/>
          <w:color w:val="000000"/>
          <w:sz w:val="24"/>
          <w:szCs w:val="24"/>
        </w:rPr>
        <w:t xml:space="preserve">: </w:t>
      </w:r>
      <w:r w:rsidR="00195585" w:rsidRPr="001678E5">
        <w:rPr>
          <w:rFonts w:ascii="Times New Roman" w:hAnsi="Times New Roman"/>
          <w:sz w:val="24"/>
          <w:szCs w:val="24"/>
        </w:rPr>
        <w:t>promueve la participación de cualquier persona en el control de la acción de gobierno y permite el acceso jurisdiccional sin límites.</w:t>
      </w:r>
    </w:p>
    <w:p w:rsidR="007B1628" w:rsidRPr="001678E5" w:rsidRDefault="007B162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La idea es seductora y maravillosa, pero la realidad es con frecuencia devastadora.</w:t>
      </w:r>
      <w:r w:rsidR="007A0AD2" w:rsidRPr="001678E5">
        <w:rPr>
          <w:rFonts w:ascii="Times New Roman" w:hAnsi="Times New Roman"/>
          <w:color w:val="000000"/>
          <w:sz w:val="24"/>
          <w:szCs w:val="24"/>
        </w:rPr>
        <w:t xml:space="preserve"> </w:t>
      </w:r>
    </w:p>
    <w:p w:rsidR="007B1628" w:rsidRPr="001678E5" w:rsidRDefault="007B162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La ley es producto de un acuerdo</w:t>
      </w:r>
      <w:r w:rsidR="00F07061" w:rsidRPr="001678E5">
        <w:rPr>
          <w:rFonts w:ascii="Times New Roman" w:hAnsi="Times New Roman"/>
          <w:color w:val="000000"/>
          <w:sz w:val="24"/>
          <w:szCs w:val="24"/>
        </w:rPr>
        <w:t>, luego de</w:t>
      </w:r>
      <w:r w:rsidRPr="001678E5">
        <w:rPr>
          <w:rFonts w:ascii="Times New Roman" w:hAnsi="Times New Roman"/>
          <w:color w:val="000000"/>
          <w:sz w:val="24"/>
          <w:szCs w:val="24"/>
        </w:rPr>
        <w:t xml:space="preserve"> un debate de ideas</w:t>
      </w:r>
      <w:r w:rsidR="00C56DB0" w:rsidRPr="001678E5">
        <w:rPr>
          <w:rFonts w:ascii="Times New Roman" w:hAnsi="Times New Roman"/>
          <w:color w:val="000000"/>
          <w:sz w:val="24"/>
          <w:szCs w:val="24"/>
        </w:rPr>
        <w:t>. Es el</w:t>
      </w:r>
      <w:r w:rsidR="002061CB" w:rsidRPr="001678E5">
        <w:rPr>
          <w:rFonts w:ascii="Times New Roman" w:hAnsi="Times New Roman"/>
          <w:color w:val="000000"/>
          <w:sz w:val="24"/>
          <w:szCs w:val="24"/>
        </w:rPr>
        <w:t xml:space="preserve"> instrumento fundamental para </w:t>
      </w:r>
      <w:r w:rsidR="00C56DB0" w:rsidRPr="001678E5">
        <w:rPr>
          <w:rFonts w:ascii="Times New Roman" w:hAnsi="Times New Roman"/>
          <w:color w:val="000000"/>
          <w:sz w:val="24"/>
          <w:szCs w:val="24"/>
        </w:rPr>
        <w:t>el orden y l</w:t>
      </w:r>
      <w:r w:rsidR="002061CB" w:rsidRPr="001678E5">
        <w:rPr>
          <w:rFonts w:ascii="Times New Roman" w:hAnsi="Times New Roman"/>
          <w:color w:val="000000"/>
          <w:sz w:val="24"/>
          <w:szCs w:val="24"/>
        </w:rPr>
        <w:t xml:space="preserve">a convivencia </w:t>
      </w:r>
      <w:r w:rsidR="00C56DB0" w:rsidRPr="001678E5">
        <w:rPr>
          <w:rFonts w:ascii="Times New Roman" w:hAnsi="Times New Roman"/>
          <w:color w:val="000000"/>
          <w:sz w:val="24"/>
          <w:szCs w:val="24"/>
        </w:rPr>
        <w:t>social</w:t>
      </w:r>
      <w:r w:rsidR="002061CB" w:rsidRPr="001678E5">
        <w:rPr>
          <w:rFonts w:ascii="Times New Roman" w:hAnsi="Times New Roman"/>
          <w:color w:val="000000"/>
          <w:sz w:val="24"/>
          <w:szCs w:val="24"/>
        </w:rPr>
        <w:t xml:space="preserve">. La </w:t>
      </w:r>
      <w:r w:rsidR="00B27DA1" w:rsidRPr="001678E5">
        <w:rPr>
          <w:rFonts w:ascii="Times New Roman" w:hAnsi="Times New Roman"/>
          <w:color w:val="000000"/>
          <w:sz w:val="24"/>
          <w:szCs w:val="24"/>
        </w:rPr>
        <w:t xml:space="preserve">ley es sancionada por </w:t>
      </w:r>
      <w:r w:rsidR="002061CB" w:rsidRPr="001678E5">
        <w:rPr>
          <w:rFonts w:ascii="Times New Roman" w:hAnsi="Times New Roman"/>
          <w:color w:val="000000"/>
          <w:sz w:val="24"/>
          <w:szCs w:val="24"/>
        </w:rPr>
        <w:t xml:space="preserve"> nuestros representantes, pues hemos adoptado el mecanismo de democracia representativa: el pueblo no gobierno ni delibera</w:t>
      </w:r>
      <w:r w:rsidR="00680E7A" w:rsidRPr="001678E5">
        <w:rPr>
          <w:rFonts w:ascii="Times New Roman" w:hAnsi="Times New Roman"/>
          <w:color w:val="000000"/>
          <w:sz w:val="24"/>
          <w:szCs w:val="24"/>
        </w:rPr>
        <w:t>,</w:t>
      </w:r>
      <w:r w:rsidR="002061CB" w:rsidRPr="001678E5">
        <w:rPr>
          <w:rFonts w:ascii="Times New Roman" w:hAnsi="Times New Roman"/>
          <w:color w:val="000000"/>
          <w:sz w:val="24"/>
          <w:szCs w:val="24"/>
        </w:rPr>
        <w:t xml:space="preserve"> sino por medio de sus representantes. </w:t>
      </w:r>
      <w:r w:rsidRPr="001678E5">
        <w:rPr>
          <w:rFonts w:ascii="Times New Roman" w:hAnsi="Times New Roman"/>
          <w:color w:val="000000"/>
          <w:sz w:val="24"/>
          <w:szCs w:val="24"/>
        </w:rPr>
        <w:t>En definitiva, acatamos la ley porque es el convenio de la mayoría. Ahora bien ¿Ese convenio puede ser cuestionado por una sola persona? Porque en definitiva la acción declarativa permite eso</w:t>
      </w:r>
      <w:r w:rsidR="00B27DA1" w:rsidRPr="001678E5">
        <w:rPr>
          <w:rFonts w:ascii="Times New Roman" w:hAnsi="Times New Roman"/>
          <w:color w:val="000000"/>
          <w:sz w:val="24"/>
          <w:szCs w:val="24"/>
        </w:rPr>
        <w:t>,</w:t>
      </w:r>
      <w:r w:rsidRPr="001678E5">
        <w:rPr>
          <w:rFonts w:ascii="Times New Roman" w:hAnsi="Times New Roman"/>
          <w:color w:val="000000"/>
          <w:sz w:val="24"/>
          <w:szCs w:val="24"/>
        </w:rPr>
        <w:t xml:space="preserve"> que cualquier ciudadano cuestione una ley porque </w:t>
      </w:r>
      <w:r w:rsidR="00B27DA1" w:rsidRPr="001678E5">
        <w:rPr>
          <w:rFonts w:ascii="Times New Roman" w:hAnsi="Times New Roman"/>
          <w:color w:val="000000"/>
          <w:sz w:val="24"/>
          <w:szCs w:val="24"/>
        </w:rPr>
        <w:t xml:space="preserve">—según su parecer— </w:t>
      </w:r>
      <w:r w:rsidRPr="001678E5">
        <w:rPr>
          <w:rFonts w:ascii="Times New Roman" w:hAnsi="Times New Roman"/>
          <w:color w:val="000000"/>
          <w:sz w:val="24"/>
          <w:szCs w:val="24"/>
        </w:rPr>
        <w:t>no se adapta a los parámetros constitucionales o internacionales.</w:t>
      </w:r>
    </w:p>
    <w:p w:rsidR="00DC53BF" w:rsidRPr="001678E5" w:rsidRDefault="00195585"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¿Puede esa persona objetar ese convenio que ha sido celebrado por sus representantes?</w:t>
      </w:r>
      <w:r w:rsidR="007B1628" w:rsidRPr="001678E5">
        <w:rPr>
          <w:rFonts w:ascii="Times New Roman" w:hAnsi="Times New Roman"/>
          <w:color w:val="000000"/>
          <w:sz w:val="24"/>
          <w:szCs w:val="24"/>
        </w:rPr>
        <w:t xml:space="preserve"> ¿Cuál es el límite ético de </w:t>
      </w:r>
      <w:r w:rsidR="00C56DB0" w:rsidRPr="001678E5">
        <w:rPr>
          <w:rFonts w:ascii="Times New Roman" w:hAnsi="Times New Roman"/>
          <w:color w:val="000000"/>
          <w:sz w:val="24"/>
          <w:szCs w:val="24"/>
        </w:rPr>
        <w:t>un diputado</w:t>
      </w:r>
      <w:r w:rsidR="007B1628" w:rsidRPr="001678E5">
        <w:rPr>
          <w:rFonts w:ascii="Times New Roman" w:hAnsi="Times New Roman"/>
          <w:color w:val="000000"/>
          <w:sz w:val="24"/>
          <w:szCs w:val="24"/>
        </w:rPr>
        <w:t xml:space="preserve"> que ha aceptado unas reglas y luego intenta cambiarla </w:t>
      </w:r>
      <w:r w:rsidR="00680E7A" w:rsidRPr="001678E5">
        <w:rPr>
          <w:rFonts w:ascii="Times New Roman" w:hAnsi="Times New Roman"/>
          <w:color w:val="000000"/>
          <w:sz w:val="24"/>
          <w:szCs w:val="24"/>
        </w:rPr>
        <w:t>por otras vías institucionales?</w:t>
      </w:r>
    </w:p>
    <w:p w:rsidR="00195585" w:rsidRPr="001678E5" w:rsidRDefault="00195585"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¿No pierde el Estado su fuerza institucional si sus leyes pueden ser cuestionadas por cualquiera? Mucho más, ¿No pierde el Estado su fuerza institucional porqu</w:t>
      </w:r>
      <w:r w:rsidR="00680E7A" w:rsidRPr="001678E5">
        <w:rPr>
          <w:rFonts w:ascii="Times New Roman" w:hAnsi="Times New Roman"/>
          <w:color w:val="000000"/>
          <w:sz w:val="24"/>
          <w:szCs w:val="24"/>
        </w:rPr>
        <w:t>e</w:t>
      </w:r>
      <w:r w:rsidRPr="001678E5">
        <w:rPr>
          <w:rFonts w:ascii="Times New Roman" w:hAnsi="Times New Roman"/>
          <w:color w:val="000000"/>
          <w:sz w:val="24"/>
          <w:szCs w:val="24"/>
        </w:rPr>
        <w:t xml:space="preserve"> una persona en abstracto —tal el requisito de la acción— ha pensado que es lesiva para el orden jurídico? ¿En qué posición se coloca a la Legislatura?</w:t>
      </w:r>
    </w:p>
    <w:p w:rsidR="00195585" w:rsidRPr="001678E5" w:rsidRDefault="00195585"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El problema es mucho más profundo que permitir a un ciudadano que pueda cuestionar una ley</w:t>
      </w:r>
      <w:r w:rsidR="007B1628" w:rsidRPr="001678E5">
        <w:rPr>
          <w:rFonts w:ascii="Times New Roman" w:hAnsi="Times New Roman"/>
          <w:color w:val="000000"/>
          <w:sz w:val="24"/>
          <w:szCs w:val="24"/>
        </w:rPr>
        <w:t>.</w:t>
      </w:r>
    </w:p>
    <w:p w:rsidR="007B1628" w:rsidRPr="001678E5" w:rsidRDefault="002061CB"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En momentos en que el Estado </w:t>
      </w:r>
      <w:r w:rsidR="00181005" w:rsidRPr="001678E5">
        <w:rPr>
          <w:rFonts w:ascii="Times New Roman" w:hAnsi="Times New Roman"/>
          <w:color w:val="000000"/>
          <w:sz w:val="24"/>
          <w:szCs w:val="24"/>
        </w:rPr>
        <w:t xml:space="preserve">y sus instituciones </w:t>
      </w:r>
      <w:r w:rsidRPr="001678E5">
        <w:rPr>
          <w:rFonts w:ascii="Times New Roman" w:hAnsi="Times New Roman"/>
          <w:color w:val="000000"/>
          <w:sz w:val="24"/>
          <w:szCs w:val="24"/>
        </w:rPr>
        <w:t>pierde</w:t>
      </w:r>
      <w:r w:rsidR="00756B5F" w:rsidRPr="001678E5">
        <w:rPr>
          <w:rFonts w:ascii="Times New Roman" w:hAnsi="Times New Roman"/>
          <w:color w:val="000000"/>
          <w:sz w:val="24"/>
          <w:szCs w:val="24"/>
        </w:rPr>
        <w:t>n</w:t>
      </w:r>
      <w:r w:rsidRPr="001678E5">
        <w:rPr>
          <w:rFonts w:ascii="Times New Roman" w:hAnsi="Times New Roman"/>
          <w:color w:val="000000"/>
          <w:sz w:val="24"/>
          <w:szCs w:val="24"/>
        </w:rPr>
        <w:t xml:space="preserve"> su fuerza tutelar, donde todo se cuestiona y existe una dictadura del relativismo, aceptar este mecanismo institucional debe llevarnos a reflexionar. ¿Qué tipo de organización jurídico-institucional queremos establecer? </w:t>
      </w:r>
    </w:p>
    <w:p w:rsidR="002061CB" w:rsidRPr="001678E5" w:rsidRDefault="002061CB"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lastRenderedPageBreak/>
        <w:t>¿Con la acción declarativa de inconstitucionalidad no es un modo de hacerle perder universalidad a la ley</w:t>
      </w:r>
      <w:r w:rsidR="00067113" w:rsidRPr="001678E5">
        <w:rPr>
          <w:rFonts w:ascii="Times New Roman" w:hAnsi="Times New Roman"/>
          <w:color w:val="000000"/>
          <w:sz w:val="24"/>
          <w:szCs w:val="24"/>
        </w:rPr>
        <w:t xml:space="preserve">? La ley puede ser cuestionable por cualquier vía, que va de la acción común a acciones popular. ¿Cómo creamos legitimidad si la ley puede ser cuestionada por vías directas, indirectas o canales informales? ¿Cómo creamos legitimidad si los mismos que hacen la ley </w:t>
      </w:r>
      <w:r w:rsidR="00C56DB0" w:rsidRPr="001678E5">
        <w:rPr>
          <w:rFonts w:ascii="Times New Roman" w:hAnsi="Times New Roman"/>
          <w:color w:val="000000"/>
          <w:sz w:val="24"/>
          <w:szCs w:val="24"/>
        </w:rPr>
        <w:t>—</w:t>
      </w:r>
      <w:r w:rsidR="00067113" w:rsidRPr="001678E5">
        <w:rPr>
          <w:rFonts w:ascii="Times New Roman" w:hAnsi="Times New Roman"/>
          <w:color w:val="000000"/>
          <w:sz w:val="24"/>
          <w:szCs w:val="24"/>
        </w:rPr>
        <w:t>una vez vencidos en el ámbito de sus incumbencias</w:t>
      </w:r>
      <w:r w:rsidR="00C56DB0" w:rsidRPr="001678E5">
        <w:rPr>
          <w:rFonts w:ascii="Times New Roman" w:hAnsi="Times New Roman"/>
          <w:color w:val="000000"/>
          <w:sz w:val="24"/>
          <w:szCs w:val="24"/>
        </w:rPr>
        <w:t>—</w:t>
      </w:r>
      <w:r w:rsidR="00067113" w:rsidRPr="001678E5">
        <w:rPr>
          <w:rFonts w:ascii="Times New Roman" w:hAnsi="Times New Roman"/>
          <w:color w:val="000000"/>
          <w:sz w:val="24"/>
          <w:szCs w:val="24"/>
        </w:rPr>
        <w:t xml:space="preserve"> luego buscan otros mecanismos?</w:t>
      </w:r>
    </w:p>
    <w:p w:rsidR="00195585" w:rsidRPr="001678E5" w:rsidRDefault="00195585" w:rsidP="001678E5">
      <w:pPr>
        <w:pStyle w:val="Textonotapie"/>
        <w:spacing w:after="0"/>
        <w:ind w:firstLine="709"/>
        <w:jc w:val="both"/>
        <w:rPr>
          <w:rFonts w:ascii="Times New Roman" w:hAnsi="Times New Roman"/>
          <w:color w:val="000000"/>
          <w:sz w:val="24"/>
          <w:szCs w:val="24"/>
        </w:rPr>
      </w:pPr>
    </w:p>
    <w:p w:rsidR="00195585" w:rsidRPr="001678E5" w:rsidRDefault="000B49E6" w:rsidP="001678E5">
      <w:pPr>
        <w:pStyle w:val="Ttulo1"/>
        <w:rPr>
          <w:rFonts w:ascii="Times New Roman" w:hAnsi="Times New Roman"/>
          <w:sz w:val="24"/>
          <w:szCs w:val="24"/>
        </w:rPr>
      </w:pPr>
      <w:r w:rsidRPr="001678E5">
        <w:rPr>
          <w:rFonts w:ascii="Times New Roman" w:hAnsi="Times New Roman"/>
          <w:sz w:val="24"/>
          <w:szCs w:val="24"/>
        </w:rPr>
        <w:t xml:space="preserve"> </w:t>
      </w:r>
      <w:r w:rsidR="006021C6" w:rsidRPr="001678E5">
        <w:rPr>
          <w:rFonts w:ascii="Times New Roman" w:hAnsi="Times New Roman"/>
          <w:sz w:val="24"/>
          <w:szCs w:val="24"/>
        </w:rPr>
        <w:t>LOS ESCOLLOS DEL ANÁLISIS CUANTITATIVO</w:t>
      </w:r>
    </w:p>
    <w:p w:rsidR="006021C6" w:rsidRPr="001678E5" w:rsidRDefault="006021C6"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Realizar un análisis cuantitativo d</w:t>
      </w:r>
      <w:r w:rsidR="003B6C88" w:rsidRPr="001678E5">
        <w:rPr>
          <w:rFonts w:ascii="Times New Roman" w:hAnsi="Times New Roman"/>
          <w:color w:val="000000"/>
          <w:sz w:val="24"/>
          <w:szCs w:val="24"/>
        </w:rPr>
        <w:t>e este tipo de acción encuentra algunos obstáculos.</w:t>
      </w:r>
    </w:p>
    <w:p w:rsidR="003B6C88" w:rsidRPr="001678E5" w:rsidRDefault="003B6C88" w:rsidP="001678E5">
      <w:pPr>
        <w:pStyle w:val="Textonotapie"/>
        <w:spacing w:after="0"/>
        <w:ind w:firstLine="709"/>
        <w:jc w:val="both"/>
        <w:rPr>
          <w:rFonts w:ascii="Times New Roman" w:hAnsi="Times New Roman"/>
          <w:color w:val="000000"/>
          <w:sz w:val="24"/>
          <w:szCs w:val="24"/>
        </w:rPr>
      </w:pPr>
    </w:p>
    <w:p w:rsidR="003B6C88" w:rsidRPr="001678E5" w:rsidRDefault="008E7B41" w:rsidP="001678E5">
      <w:pPr>
        <w:pStyle w:val="Ttulo2"/>
        <w:rPr>
          <w:rFonts w:ascii="Times New Roman" w:hAnsi="Times New Roman"/>
          <w:sz w:val="24"/>
          <w:szCs w:val="24"/>
        </w:rPr>
      </w:pPr>
      <w:r w:rsidRPr="001678E5">
        <w:rPr>
          <w:rFonts w:ascii="Times New Roman" w:hAnsi="Times New Roman"/>
          <w:sz w:val="24"/>
          <w:szCs w:val="24"/>
        </w:rPr>
        <w:t>El buscador del TSJ</w:t>
      </w:r>
    </w:p>
    <w:p w:rsidR="003B6C88" w:rsidRPr="001678E5" w:rsidRDefault="003B6C8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En primer lugar, la base datos oficial del Tribunal de Superior de Justicia </w:t>
      </w:r>
      <w:r w:rsidR="008E7B41" w:rsidRPr="001678E5">
        <w:rPr>
          <w:rFonts w:ascii="Times New Roman" w:hAnsi="Times New Roman"/>
          <w:color w:val="000000"/>
          <w:sz w:val="24"/>
          <w:szCs w:val="24"/>
        </w:rPr>
        <w:t>incluye la totalidad de las acciones en las que se ha tratado el tema, o donde se incluye la voz “acción declarativa de inconstitucionalidad”. Esta circunstancia hace que del cotejo de la base de datos oficial, la totalidad de acciones declarativa</w:t>
      </w:r>
      <w:r w:rsidR="00D87D37" w:rsidRPr="001678E5">
        <w:rPr>
          <w:rFonts w:ascii="Times New Roman" w:hAnsi="Times New Roman"/>
          <w:color w:val="000000"/>
          <w:sz w:val="24"/>
          <w:szCs w:val="24"/>
        </w:rPr>
        <w:t>s</w:t>
      </w:r>
      <w:r w:rsidR="008E7B41" w:rsidRPr="001678E5">
        <w:rPr>
          <w:rFonts w:ascii="Times New Roman" w:hAnsi="Times New Roman"/>
          <w:color w:val="000000"/>
          <w:sz w:val="24"/>
          <w:szCs w:val="24"/>
        </w:rPr>
        <w:t xml:space="preserve"> de inconstitucionalidad sea de 41</w:t>
      </w:r>
      <w:r w:rsidR="00F371F1" w:rsidRPr="001678E5">
        <w:rPr>
          <w:rFonts w:ascii="Times New Roman" w:hAnsi="Times New Roman"/>
          <w:color w:val="000000"/>
          <w:sz w:val="24"/>
          <w:szCs w:val="24"/>
        </w:rPr>
        <w:t>2</w:t>
      </w:r>
      <w:r w:rsidRPr="001678E5">
        <w:rPr>
          <w:rFonts w:ascii="Times New Roman" w:hAnsi="Times New Roman"/>
          <w:color w:val="000000"/>
          <w:sz w:val="24"/>
          <w:szCs w:val="24"/>
        </w:rPr>
        <w:t xml:space="preserve">. En </w:t>
      </w:r>
      <w:r w:rsidR="00D87D37" w:rsidRPr="001678E5">
        <w:rPr>
          <w:rFonts w:ascii="Times New Roman" w:hAnsi="Times New Roman"/>
          <w:color w:val="000000"/>
          <w:sz w:val="24"/>
          <w:szCs w:val="24"/>
        </w:rPr>
        <w:t>realidad, el Tribunal ha tratado 1</w:t>
      </w:r>
      <w:r w:rsidR="0081585C" w:rsidRPr="001678E5">
        <w:rPr>
          <w:rFonts w:ascii="Times New Roman" w:hAnsi="Times New Roman"/>
          <w:color w:val="000000"/>
          <w:sz w:val="24"/>
          <w:szCs w:val="24"/>
        </w:rPr>
        <w:t>8</w:t>
      </w:r>
      <w:r w:rsidR="00BD4886" w:rsidRPr="001678E5">
        <w:rPr>
          <w:rFonts w:ascii="Times New Roman" w:hAnsi="Times New Roman"/>
          <w:color w:val="000000"/>
          <w:sz w:val="24"/>
          <w:szCs w:val="24"/>
        </w:rPr>
        <w:t>2</w:t>
      </w:r>
      <w:r w:rsidR="00D87D37" w:rsidRPr="001678E5">
        <w:rPr>
          <w:rFonts w:ascii="Times New Roman" w:hAnsi="Times New Roman"/>
          <w:color w:val="000000"/>
          <w:sz w:val="24"/>
          <w:szCs w:val="24"/>
        </w:rPr>
        <w:t xml:space="preserve"> acciones, el resto son cuestiones que incidentalmente </w:t>
      </w:r>
      <w:r w:rsidR="00F371F1" w:rsidRPr="001678E5">
        <w:rPr>
          <w:rFonts w:ascii="Times New Roman" w:hAnsi="Times New Roman"/>
          <w:color w:val="000000"/>
          <w:sz w:val="24"/>
          <w:szCs w:val="24"/>
        </w:rPr>
        <w:t>abordaron</w:t>
      </w:r>
      <w:r w:rsidR="00D87D37" w:rsidRPr="001678E5">
        <w:rPr>
          <w:rFonts w:ascii="Times New Roman" w:hAnsi="Times New Roman"/>
          <w:color w:val="000000"/>
          <w:sz w:val="24"/>
          <w:szCs w:val="24"/>
        </w:rPr>
        <w:t xml:space="preserve"> la cuestión, pero no cabe tenerlas como acciones declarativas de inconstitucionalidad</w:t>
      </w:r>
      <w:r w:rsidR="008E7B41" w:rsidRPr="001678E5">
        <w:rPr>
          <w:rFonts w:ascii="Times New Roman" w:hAnsi="Times New Roman"/>
          <w:color w:val="000000"/>
          <w:sz w:val="24"/>
          <w:szCs w:val="24"/>
        </w:rPr>
        <w:t>.</w:t>
      </w:r>
      <w:r w:rsidR="00C56DB0" w:rsidRPr="001678E5">
        <w:rPr>
          <w:rFonts w:ascii="Times New Roman" w:hAnsi="Times New Roman"/>
          <w:color w:val="000000"/>
          <w:sz w:val="24"/>
          <w:szCs w:val="24"/>
        </w:rPr>
        <w:t xml:space="preserve"> </w:t>
      </w:r>
    </w:p>
    <w:p w:rsidR="003B6C88" w:rsidRPr="001678E5" w:rsidRDefault="003B6C8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Por otra parte, dicho buscador no discrimin</w:t>
      </w:r>
      <w:r w:rsidR="007E5050" w:rsidRPr="001678E5">
        <w:rPr>
          <w:rFonts w:ascii="Times New Roman" w:hAnsi="Times New Roman"/>
          <w:color w:val="000000"/>
          <w:sz w:val="24"/>
          <w:szCs w:val="24"/>
        </w:rPr>
        <w:t xml:space="preserve">a entre las medidas previas que </w:t>
      </w:r>
      <w:proofErr w:type="gramStart"/>
      <w:r w:rsidR="007E5050" w:rsidRPr="001678E5">
        <w:rPr>
          <w:rFonts w:ascii="Times New Roman" w:hAnsi="Times New Roman"/>
          <w:color w:val="000000"/>
          <w:sz w:val="24"/>
          <w:szCs w:val="24"/>
        </w:rPr>
        <w:t>emitió</w:t>
      </w:r>
      <w:proofErr w:type="gramEnd"/>
      <w:r w:rsidR="007E5050" w:rsidRPr="001678E5">
        <w:rPr>
          <w:rFonts w:ascii="Times New Roman" w:hAnsi="Times New Roman"/>
          <w:color w:val="000000"/>
          <w:sz w:val="24"/>
          <w:szCs w:val="24"/>
        </w:rPr>
        <w:t xml:space="preserve"> el TSJ</w:t>
      </w:r>
      <w:r w:rsidRPr="001678E5">
        <w:rPr>
          <w:rFonts w:ascii="Times New Roman" w:hAnsi="Times New Roman"/>
          <w:color w:val="000000"/>
          <w:sz w:val="24"/>
          <w:szCs w:val="24"/>
        </w:rPr>
        <w:t xml:space="preserve"> y las sentencias definitivas.</w:t>
      </w:r>
      <w:r w:rsidR="00C56DB0" w:rsidRPr="001678E5">
        <w:rPr>
          <w:rFonts w:ascii="Times New Roman" w:hAnsi="Times New Roman"/>
          <w:color w:val="000000"/>
          <w:sz w:val="24"/>
          <w:szCs w:val="24"/>
        </w:rPr>
        <w:t xml:space="preserve"> </w:t>
      </w:r>
    </w:p>
    <w:p w:rsidR="006021C6" w:rsidRPr="001678E5" w:rsidRDefault="003B6C8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E</w:t>
      </w:r>
      <w:r w:rsidR="00F5571B" w:rsidRPr="001678E5">
        <w:rPr>
          <w:rFonts w:ascii="Times New Roman" w:hAnsi="Times New Roman"/>
          <w:color w:val="000000"/>
          <w:sz w:val="24"/>
          <w:szCs w:val="24"/>
        </w:rPr>
        <w:t>s decir</w:t>
      </w:r>
      <w:r w:rsidRPr="001678E5">
        <w:rPr>
          <w:rFonts w:ascii="Times New Roman" w:hAnsi="Times New Roman"/>
          <w:color w:val="000000"/>
          <w:sz w:val="24"/>
          <w:szCs w:val="24"/>
        </w:rPr>
        <w:t xml:space="preserve">, si se intenta saber mediante la página oficial la cantidad de sentencias que </w:t>
      </w:r>
      <w:r w:rsidR="007E5050" w:rsidRPr="001678E5">
        <w:rPr>
          <w:rFonts w:ascii="Times New Roman" w:hAnsi="Times New Roman"/>
          <w:color w:val="000000"/>
          <w:sz w:val="24"/>
          <w:szCs w:val="24"/>
        </w:rPr>
        <w:t>se pronunciaron sobre esta cuestión</w:t>
      </w:r>
      <w:r w:rsidRPr="001678E5">
        <w:rPr>
          <w:rFonts w:ascii="Times New Roman" w:hAnsi="Times New Roman"/>
          <w:color w:val="000000"/>
          <w:sz w:val="24"/>
          <w:szCs w:val="24"/>
        </w:rPr>
        <w:t>, no es posible saberlo.</w:t>
      </w:r>
    </w:p>
    <w:p w:rsidR="003B6C88" w:rsidRPr="001678E5" w:rsidRDefault="003B6C8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Ni mucho menos la cantidad de sentencias, en las que se admitió este tipo de acción.</w:t>
      </w:r>
      <w:r w:rsidR="00181005" w:rsidRPr="001678E5">
        <w:rPr>
          <w:rFonts w:ascii="Times New Roman" w:hAnsi="Times New Roman"/>
          <w:color w:val="000000"/>
          <w:sz w:val="24"/>
          <w:szCs w:val="24"/>
        </w:rPr>
        <w:t xml:space="preserve"> E</w:t>
      </w:r>
      <w:r w:rsidR="007E5050" w:rsidRPr="001678E5">
        <w:rPr>
          <w:rFonts w:ascii="Times New Roman" w:hAnsi="Times New Roman"/>
          <w:color w:val="000000"/>
          <w:sz w:val="24"/>
          <w:szCs w:val="24"/>
        </w:rPr>
        <w:t>n consecuencia, e</w:t>
      </w:r>
      <w:r w:rsidR="00181005" w:rsidRPr="001678E5">
        <w:rPr>
          <w:rFonts w:ascii="Times New Roman" w:hAnsi="Times New Roman"/>
          <w:color w:val="000000"/>
          <w:sz w:val="24"/>
          <w:szCs w:val="24"/>
        </w:rPr>
        <w:t>s preciso hacer una pesquisa caso por caso.</w:t>
      </w:r>
    </w:p>
    <w:p w:rsidR="0007533F" w:rsidRPr="001678E5" w:rsidRDefault="00F5571B"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Tampoco es posible conocer la cantidad de diputados que han interpuesto este tipo de acción. En efecto, si se toma la carátula del juicio tan solo surge uno solo, </w:t>
      </w:r>
      <w:r w:rsidRPr="001678E5">
        <w:rPr>
          <w:rFonts w:ascii="Times New Roman" w:hAnsi="Times New Roman"/>
          <w:color w:val="000000"/>
          <w:sz w:val="24"/>
          <w:szCs w:val="24"/>
        </w:rPr>
        <w:lastRenderedPageBreak/>
        <w:t xml:space="preserve">pero si se examina el caso concreto, </w:t>
      </w:r>
      <w:r w:rsidR="0098550F" w:rsidRPr="001678E5">
        <w:rPr>
          <w:rFonts w:ascii="Times New Roman" w:hAnsi="Times New Roman"/>
          <w:color w:val="000000"/>
          <w:sz w:val="24"/>
          <w:szCs w:val="24"/>
        </w:rPr>
        <w:t>se observan múltiples actores</w:t>
      </w:r>
      <w:r w:rsidRPr="001678E5">
        <w:rPr>
          <w:rFonts w:ascii="Times New Roman" w:hAnsi="Times New Roman"/>
          <w:color w:val="000000"/>
          <w:sz w:val="24"/>
          <w:szCs w:val="24"/>
        </w:rPr>
        <w:t xml:space="preserve"> (v.gr. casos </w:t>
      </w:r>
      <w:proofErr w:type="spellStart"/>
      <w:r w:rsidRPr="001678E5">
        <w:rPr>
          <w:rFonts w:ascii="Times New Roman" w:hAnsi="Times New Roman"/>
          <w:color w:val="000000"/>
          <w:sz w:val="24"/>
          <w:szCs w:val="24"/>
        </w:rPr>
        <w:t>Hourest</w:t>
      </w:r>
      <w:proofErr w:type="spellEnd"/>
      <w:r w:rsidRPr="001678E5">
        <w:rPr>
          <w:rFonts w:ascii="Times New Roman" w:hAnsi="Times New Roman"/>
          <w:color w:val="000000"/>
          <w:sz w:val="24"/>
          <w:szCs w:val="24"/>
        </w:rPr>
        <w:t xml:space="preserve"> –dos-, </w:t>
      </w:r>
      <w:proofErr w:type="spellStart"/>
      <w:r w:rsidRPr="001678E5">
        <w:rPr>
          <w:rFonts w:ascii="Times New Roman" w:hAnsi="Times New Roman"/>
          <w:color w:val="000000"/>
          <w:sz w:val="24"/>
          <w:szCs w:val="24"/>
        </w:rPr>
        <w:t>Bidonde</w:t>
      </w:r>
      <w:proofErr w:type="spellEnd"/>
      <w:r w:rsidRPr="001678E5">
        <w:rPr>
          <w:rFonts w:ascii="Times New Roman" w:hAnsi="Times New Roman"/>
          <w:color w:val="000000"/>
          <w:sz w:val="24"/>
          <w:szCs w:val="24"/>
        </w:rPr>
        <w:t xml:space="preserve"> –dos-, Brusca –cinco-, </w:t>
      </w:r>
      <w:proofErr w:type="spellStart"/>
      <w:r w:rsidRPr="001678E5">
        <w:rPr>
          <w:rFonts w:ascii="Times New Roman" w:hAnsi="Times New Roman"/>
          <w:color w:val="000000"/>
          <w:sz w:val="24"/>
          <w:szCs w:val="24"/>
        </w:rPr>
        <w:t>Olivetto</w:t>
      </w:r>
      <w:proofErr w:type="spellEnd"/>
      <w:r w:rsidRPr="001678E5">
        <w:rPr>
          <w:rFonts w:ascii="Times New Roman" w:hAnsi="Times New Roman"/>
          <w:color w:val="000000"/>
          <w:sz w:val="24"/>
          <w:szCs w:val="24"/>
        </w:rPr>
        <w:t xml:space="preserve"> –cinco-, </w:t>
      </w:r>
      <w:proofErr w:type="spellStart"/>
      <w:r w:rsidRPr="001678E5">
        <w:rPr>
          <w:rFonts w:ascii="Times New Roman" w:hAnsi="Times New Roman"/>
          <w:color w:val="000000"/>
          <w:sz w:val="24"/>
          <w:szCs w:val="24"/>
        </w:rPr>
        <w:t>Nadeo</w:t>
      </w:r>
      <w:proofErr w:type="spellEnd"/>
      <w:r w:rsidRPr="001678E5">
        <w:rPr>
          <w:rFonts w:ascii="Times New Roman" w:hAnsi="Times New Roman"/>
          <w:color w:val="000000"/>
          <w:sz w:val="24"/>
          <w:szCs w:val="24"/>
        </w:rPr>
        <w:t xml:space="preserve"> –trece-). Este es otro punto crucial, pues si se toma únicamente la carátula, se podría decir que en el caso de los políticos y diputados tan solo un </w:t>
      </w:r>
      <w:r w:rsidR="00EF729A" w:rsidRPr="001678E5">
        <w:rPr>
          <w:rFonts w:ascii="Times New Roman" w:hAnsi="Times New Roman"/>
          <w:color w:val="000000"/>
          <w:sz w:val="24"/>
          <w:szCs w:val="24"/>
        </w:rPr>
        <w:t>10,</w:t>
      </w:r>
      <w:r w:rsidR="00494A9C" w:rsidRPr="001678E5">
        <w:rPr>
          <w:rFonts w:ascii="Times New Roman" w:hAnsi="Times New Roman"/>
          <w:color w:val="000000"/>
          <w:sz w:val="24"/>
          <w:szCs w:val="24"/>
        </w:rPr>
        <w:t>05</w:t>
      </w:r>
      <w:r w:rsidRPr="001678E5">
        <w:rPr>
          <w:rFonts w:ascii="Times New Roman" w:hAnsi="Times New Roman"/>
          <w:color w:val="000000"/>
          <w:sz w:val="24"/>
          <w:szCs w:val="24"/>
        </w:rPr>
        <w:t>% ha utilizado esta acción</w:t>
      </w:r>
      <w:r w:rsidR="00EF729A" w:rsidRPr="001678E5">
        <w:rPr>
          <w:rFonts w:ascii="Times New Roman" w:hAnsi="Times New Roman"/>
          <w:color w:val="000000"/>
          <w:sz w:val="24"/>
          <w:szCs w:val="24"/>
        </w:rPr>
        <w:t>. Ahora bien,</w:t>
      </w:r>
      <w:r w:rsidRPr="001678E5">
        <w:rPr>
          <w:rFonts w:ascii="Times New Roman" w:hAnsi="Times New Roman"/>
          <w:color w:val="000000"/>
          <w:sz w:val="24"/>
          <w:szCs w:val="24"/>
        </w:rPr>
        <w:t xml:space="preserve"> si se computan la totalidad de los actores el número asciende</w:t>
      </w:r>
      <w:r w:rsidR="00E65D6B" w:rsidRPr="001678E5">
        <w:rPr>
          <w:rFonts w:ascii="Times New Roman" w:hAnsi="Times New Roman"/>
          <w:color w:val="000000"/>
          <w:sz w:val="24"/>
          <w:szCs w:val="24"/>
        </w:rPr>
        <w:t xml:space="preserve"> rápidamente</w:t>
      </w:r>
      <w:r w:rsidR="00680E7A" w:rsidRPr="001678E5">
        <w:rPr>
          <w:rFonts w:ascii="Times New Roman" w:hAnsi="Times New Roman"/>
          <w:color w:val="000000"/>
          <w:sz w:val="24"/>
          <w:szCs w:val="24"/>
        </w:rPr>
        <w:t>, tal el caso “</w:t>
      </w:r>
      <w:proofErr w:type="spellStart"/>
      <w:r w:rsidR="00680E7A" w:rsidRPr="001678E5">
        <w:rPr>
          <w:rFonts w:ascii="Times New Roman" w:hAnsi="Times New Roman"/>
          <w:color w:val="000000"/>
          <w:sz w:val="24"/>
          <w:szCs w:val="24"/>
        </w:rPr>
        <w:t>Nadeo</w:t>
      </w:r>
      <w:proofErr w:type="spellEnd"/>
      <w:r w:rsidR="00680E7A" w:rsidRPr="001678E5">
        <w:rPr>
          <w:rFonts w:ascii="Times New Roman" w:hAnsi="Times New Roman"/>
          <w:color w:val="000000"/>
          <w:sz w:val="24"/>
          <w:szCs w:val="24"/>
        </w:rPr>
        <w:t>”, en el que</w:t>
      </w:r>
      <w:r w:rsidR="00E65D6B" w:rsidRPr="001678E5">
        <w:rPr>
          <w:rFonts w:ascii="Times New Roman" w:hAnsi="Times New Roman"/>
          <w:color w:val="000000"/>
          <w:sz w:val="24"/>
          <w:szCs w:val="24"/>
        </w:rPr>
        <w:t xml:space="preserve"> trece diputados los que interpusieron la acción.</w:t>
      </w:r>
    </w:p>
    <w:p w:rsidR="008E7B41" w:rsidRPr="001678E5" w:rsidRDefault="008E7B41" w:rsidP="001678E5">
      <w:pPr>
        <w:pStyle w:val="Textonotapie"/>
        <w:spacing w:after="0"/>
        <w:ind w:firstLine="709"/>
        <w:jc w:val="both"/>
        <w:rPr>
          <w:rFonts w:ascii="Times New Roman" w:hAnsi="Times New Roman"/>
          <w:color w:val="000000"/>
          <w:sz w:val="24"/>
          <w:szCs w:val="24"/>
        </w:rPr>
      </w:pPr>
    </w:p>
    <w:p w:rsidR="003B6C88" w:rsidRPr="001678E5" w:rsidRDefault="003B6C88" w:rsidP="001678E5">
      <w:pPr>
        <w:pStyle w:val="Ttulo2"/>
        <w:rPr>
          <w:rFonts w:ascii="Times New Roman" w:hAnsi="Times New Roman"/>
          <w:sz w:val="24"/>
          <w:szCs w:val="24"/>
        </w:rPr>
      </w:pPr>
      <w:r w:rsidRPr="001678E5">
        <w:rPr>
          <w:rFonts w:ascii="Times New Roman" w:hAnsi="Times New Roman"/>
          <w:sz w:val="24"/>
          <w:szCs w:val="24"/>
        </w:rPr>
        <w:t>La calidad de los actores</w:t>
      </w:r>
    </w:p>
    <w:p w:rsidR="00803670" w:rsidRPr="001678E5" w:rsidRDefault="003B6C8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Por otra parte, </w:t>
      </w:r>
      <w:r w:rsidR="00E66C88" w:rsidRPr="001678E5">
        <w:rPr>
          <w:rFonts w:ascii="Times New Roman" w:hAnsi="Times New Roman"/>
          <w:color w:val="000000"/>
          <w:sz w:val="24"/>
          <w:szCs w:val="24"/>
        </w:rPr>
        <w:t>tampoco es posible conocer en su totalidad la calidad de los actores, esto es, a qué se dedican, si tienen título profesional</w:t>
      </w:r>
      <w:r w:rsidR="00913F0E" w:rsidRPr="001678E5">
        <w:rPr>
          <w:rFonts w:ascii="Times New Roman" w:hAnsi="Times New Roman"/>
          <w:color w:val="000000"/>
          <w:sz w:val="24"/>
          <w:szCs w:val="24"/>
        </w:rPr>
        <w:t xml:space="preserve">, etc. </w:t>
      </w:r>
      <w:r w:rsidR="00E66C88" w:rsidRPr="001678E5">
        <w:rPr>
          <w:rFonts w:ascii="Times New Roman" w:hAnsi="Times New Roman"/>
          <w:color w:val="000000"/>
          <w:sz w:val="24"/>
          <w:szCs w:val="24"/>
        </w:rPr>
        <w:t xml:space="preserve"> </w:t>
      </w:r>
      <w:r w:rsidR="0098550F" w:rsidRPr="001678E5">
        <w:rPr>
          <w:rFonts w:ascii="Times New Roman" w:hAnsi="Times New Roman"/>
          <w:color w:val="000000"/>
          <w:sz w:val="24"/>
          <w:szCs w:val="24"/>
        </w:rPr>
        <w:t xml:space="preserve">Del examen cuantitativo realizado existe un </w:t>
      </w:r>
      <w:r w:rsidR="00F567DA" w:rsidRPr="001678E5">
        <w:rPr>
          <w:rFonts w:ascii="Times New Roman" w:hAnsi="Times New Roman"/>
          <w:color w:val="000000"/>
          <w:sz w:val="24"/>
          <w:szCs w:val="24"/>
        </w:rPr>
        <w:t>1</w:t>
      </w:r>
      <w:r w:rsidR="00494A9C" w:rsidRPr="001678E5">
        <w:rPr>
          <w:rFonts w:ascii="Times New Roman" w:hAnsi="Times New Roman"/>
          <w:color w:val="000000"/>
          <w:sz w:val="24"/>
          <w:szCs w:val="24"/>
        </w:rPr>
        <w:t>1,1</w:t>
      </w:r>
      <w:r w:rsidR="00F371F1" w:rsidRPr="001678E5">
        <w:rPr>
          <w:rFonts w:ascii="Times New Roman" w:hAnsi="Times New Roman"/>
          <w:color w:val="000000"/>
          <w:sz w:val="24"/>
          <w:szCs w:val="24"/>
        </w:rPr>
        <w:t>1</w:t>
      </w:r>
      <w:r w:rsidR="0098550F" w:rsidRPr="001678E5">
        <w:rPr>
          <w:rFonts w:ascii="Times New Roman" w:hAnsi="Times New Roman"/>
          <w:color w:val="000000"/>
          <w:sz w:val="24"/>
          <w:szCs w:val="24"/>
        </w:rPr>
        <w:t>%, cuya calidad es desconocida.</w:t>
      </w:r>
    </w:p>
    <w:p w:rsidR="006021C6" w:rsidRPr="001678E5" w:rsidRDefault="00E66C88"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Asimismo, </w:t>
      </w:r>
      <w:r w:rsidR="003B6C88" w:rsidRPr="001678E5">
        <w:rPr>
          <w:rFonts w:ascii="Times New Roman" w:hAnsi="Times New Roman"/>
          <w:color w:val="000000"/>
          <w:sz w:val="24"/>
          <w:szCs w:val="24"/>
        </w:rPr>
        <w:t xml:space="preserve">existen entidades o personas físicas que </w:t>
      </w:r>
      <w:r w:rsidR="007E5050" w:rsidRPr="001678E5">
        <w:rPr>
          <w:rFonts w:ascii="Times New Roman" w:hAnsi="Times New Roman"/>
          <w:color w:val="000000"/>
          <w:sz w:val="24"/>
          <w:szCs w:val="24"/>
        </w:rPr>
        <w:t>interpusieron</w:t>
      </w:r>
      <w:r w:rsidR="003B6C88" w:rsidRPr="001678E5">
        <w:rPr>
          <w:rFonts w:ascii="Times New Roman" w:hAnsi="Times New Roman"/>
          <w:color w:val="000000"/>
          <w:sz w:val="24"/>
          <w:szCs w:val="24"/>
        </w:rPr>
        <w:t xml:space="preserve"> </w:t>
      </w:r>
      <w:r w:rsidR="00C56DB0" w:rsidRPr="001678E5">
        <w:rPr>
          <w:rFonts w:ascii="Times New Roman" w:hAnsi="Times New Roman"/>
          <w:color w:val="000000"/>
          <w:sz w:val="24"/>
          <w:szCs w:val="24"/>
        </w:rPr>
        <w:t>varias acciones de este tipo</w:t>
      </w:r>
      <w:r w:rsidR="003B6C88" w:rsidRPr="001678E5">
        <w:rPr>
          <w:rFonts w:ascii="Times New Roman" w:hAnsi="Times New Roman"/>
          <w:color w:val="000000"/>
          <w:sz w:val="24"/>
          <w:szCs w:val="24"/>
        </w:rPr>
        <w:t>, por lo que también resulta dificultoso conocer esta cuestión</w:t>
      </w:r>
      <w:r w:rsidR="00656525" w:rsidRPr="001678E5">
        <w:rPr>
          <w:rFonts w:ascii="Times New Roman" w:hAnsi="Times New Roman"/>
          <w:color w:val="000000"/>
          <w:sz w:val="24"/>
          <w:szCs w:val="24"/>
        </w:rPr>
        <w:t xml:space="preserve"> (v. gr.  </w:t>
      </w:r>
      <w:r w:rsidR="003B6C88" w:rsidRPr="001678E5">
        <w:rPr>
          <w:rFonts w:ascii="Times New Roman" w:hAnsi="Times New Roman"/>
          <w:color w:val="000000"/>
          <w:sz w:val="24"/>
          <w:szCs w:val="24"/>
        </w:rPr>
        <w:t>Asociación por los Derechos Civiles</w:t>
      </w:r>
      <w:r w:rsidR="00C56DB0" w:rsidRPr="001678E5">
        <w:rPr>
          <w:rFonts w:ascii="Times New Roman" w:hAnsi="Times New Roman"/>
          <w:color w:val="000000"/>
          <w:sz w:val="24"/>
          <w:szCs w:val="24"/>
        </w:rPr>
        <w:t>, la Defensoría del Pueblo, el Ministerio Público</w:t>
      </w:r>
      <w:r w:rsidR="00656525" w:rsidRPr="001678E5">
        <w:rPr>
          <w:rFonts w:ascii="Times New Roman" w:hAnsi="Times New Roman"/>
          <w:color w:val="000000"/>
          <w:sz w:val="24"/>
          <w:szCs w:val="24"/>
        </w:rPr>
        <w:t>)</w:t>
      </w:r>
      <w:r w:rsidR="00C56DB0" w:rsidRPr="001678E5">
        <w:rPr>
          <w:rFonts w:ascii="Times New Roman" w:hAnsi="Times New Roman"/>
          <w:color w:val="000000"/>
          <w:sz w:val="24"/>
          <w:szCs w:val="24"/>
        </w:rPr>
        <w:t xml:space="preserve">. </w:t>
      </w:r>
      <w:r w:rsidR="00656525" w:rsidRPr="001678E5">
        <w:rPr>
          <w:rFonts w:ascii="Times New Roman" w:hAnsi="Times New Roman"/>
          <w:color w:val="000000"/>
          <w:sz w:val="24"/>
          <w:szCs w:val="24"/>
        </w:rPr>
        <w:t>En efecto, el buscador nos brinda todo lo que se decidió, sin discriminar por tema, o por medidas previas, por lo que se hace preciso hacer un relevamiento manual. Esta tarea se dificulta, pues la carátula siempre es la misma y lo único que difiere es el número de expediente.</w:t>
      </w:r>
    </w:p>
    <w:p w:rsidR="00E9542C" w:rsidRPr="001678E5" w:rsidRDefault="00E9542C"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Por otr</w:t>
      </w:r>
      <w:r w:rsidR="00656525" w:rsidRPr="001678E5">
        <w:rPr>
          <w:rFonts w:ascii="Times New Roman" w:hAnsi="Times New Roman"/>
          <w:color w:val="000000"/>
          <w:sz w:val="24"/>
          <w:szCs w:val="24"/>
        </w:rPr>
        <w:t xml:space="preserve">a parte, </w:t>
      </w:r>
      <w:r w:rsidRPr="001678E5">
        <w:rPr>
          <w:rFonts w:ascii="Times New Roman" w:hAnsi="Times New Roman"/>
          <w:color w:val="000000"/>
          <w:sz w:val="24"/>
          <w:szCs w:val="24"/>
        </w:rPr>
        <w:t xml:space="preserve">consultada </w:t>
      </w:r>
      <w:r w:rsidR="00803670" w:rsidRPr="001678E5">
        <w:rPr>
          <w:rFonts w:ascii="Times New Roman" w:hAnsi="Times New Roman"/>
          <w:color w:val="000000"/>
          <w:sz w:val="24"/>
          <w:szCs w:val="24"/>
        </w:rPr>
        <w:t xml:space="preserve">—mediante correo electrónico— </w:t>
      </w:r>
      <w:r w:rsidR="00656525" w:rsidRPr="001678E5">
        <w:rPr>
          <w:rFonts w:ascii="Times New Roman" w:hAnsi="Times New Roman"/>
          <w:color w:val="000000"/>
          <w:sz w:val="24"/>
          <w:szCs w:val="24"/>
        </w:rPr>
        <w:t xml:space="preserve">la referida </w:t>
      </w:r>
      <w:r w:rsidRPr="001678E5">
        <w:rPr>
          <w:rFonts w:ascii="Times New Roman" w:hAnsi="Times New Roman"/>
          <w:color w:val="000000"/>
          <w:sz w:val="24"/>
          <w:szCs w:val="24"/>
        </w:rPr>
        <w:t>Asociación acerca de la cantidad de acciones que han interpuesto</w:t>
      </w:r>
      <w:r w:rsidR="007E5050" w:rsidRPr="001678E5">
        <w:rPr>
          <w:rFonts w:ascii="Times New Roman" w:hAnsi="Times New Roman"/>
          <w:color w:val="000000"/>
          <w:sz w:val="24"/>
          <w:szCs w:val="24"/>
        </w:rPr>
        <w:t xml:space="preserve"> y el tema tratado</w:t>
      </w:r>
      <w:r w:rsidR="00656525" w:rsidRPr="001678E5">
        <w:rPr>
          <w:rFonts w:ascii="Times New Roman" w:hAnsi="Times New Roman"/>
          <w:color w:val="000000"/>
          <w:sz w:val="24"/>
          <w:szCs w:val="24"/>
        </w:rPr>
        <w:t>, tal información no fue suministrada.</w:t>
      </w:r>
    </w:p>
    <w:p w:rsidR="006021C6" w:rsidRPr="001678E5" w:rsidRDefault="00913F0E"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En suma, conocer la calidad de los actores es crucial, pues de esa forma podemos advertir si han interpuesto esta acción para el sostenimiento de los valores constitucionales, o bien si </w:t>
      </w:r>
      <w:r w:rsidR="00A86114" w:rsidRPr="001678E5">
        <w:rPr>
          <w:rFonts w:ascii="Times New Roman" w:hAnsi="Times New Roman"/>
          <w:color w:val="000000"/>
          <w:sz w:val="24"/>
          <w:szCs w:val="24"/>
        </w:rPr>
        <w:t>ha sido el instrumento</w:t>
      </w:r>
      <w:r w:rsidRPr="001678E5">
        <w:rPr>
          <w:rFonts w:ascii="Times New Roman" w:hAnsi="Times New Roman"/>
          <w:color w:val="000000"/>
          <w:sz w:val="24"/>
          <w:szCs w:val="24"/>
        </w:rPr>
        <w:t xml:space="preserve"> para la gestión de un interés personal (v. gr. un docente que cuestiona una norma por una cuestión que le afecta su sueldo, o un arquitecto por una norma que no le permite construir y desplegar su actividad profesional).</w:t>
      </w:r>
    </w:p>
    <w:p w:rsidR="00913F0E" w:rsidRPr="001678E5" w:rsidRDefault="00913F0E" w:rsidP="001678E5">
      <w:pPr>
        <w:pStyle w:val="Textonotapie"/>
        <w:spacing w:after="0"/>
        <w:ind w:firstLine="709"/>
        <w:jc w:val="both"/>
        <w:rPr>
          <w:rFonts w:ascii="Times New Roman" w:hAnsi="Times New Roman"/>
          <w:color w:val="000000"/>
          <w:sz w:val="24"/>
          <w:szCs w:val="24"/>
        </w:rPr>
      </w:pPr>
    </w:p>
    <w:p w:rsidR="00847351" w:rsidRPr="001678E5" w:rsidRDefault="000B49E6" w:rsidP="001678E5">
      <w:pPr>
        <w:pStyle w:val="Ttulo1"/>
        <w:rPr>
          <w:rFonts w:ascii="Times New Roman" w:hAnsi="Times New Roman"/>
          <w:sz w:val="24"/>
          <w:szCs w:val="24"/>
        </w:rPr>
      </w:pPr>
      <w:r w:rsidRPr="001678E5">
        <w:rPr>
          <w:rFonts w:ascii="Times New Roman" w:hAnsi="Times New Roman"/>
          <w:sz w:val="24"/>
          <w:szCs w:val="24"/>
        </w:rPr>
        <w:t xml:space="preserve"> </w:t>
      </w:r>
      <w:r w:rsidR="00913F0E" w:rsidRPr="001678E5">
        <w:rPr>
          <w:rFonts w:ascii="Times New Roman" w:hAnsi="Times New Roman"/>
          <w:sz w:val="24"/>
          <w:szCs w:val="24"/>
        </w:rPr>
        <w:t>UN PRIMER ANÁLISIS</w:t>
      </w:r>
      <w:r w:rsidR="00900DD9" w:rsidRPr="001678E5">
        <w:rPr>
          <w:rStyle w:val="Refdenotaalpie"/>
          <w:rFonts w:ascii="Times New Roman" w:hAnsi="Times New Roman"/>
          <w:sz w:val="24"/>
          <w:szCs w:val="24"/>
        </w:rPr>
        <w:footnoteReference w:id="4"/>
      </w:r>
    </w:p>
    <w:p w:rsidR="00F567DA" w:rsidRPr="001678E5" w:rsidRDefault="00DD42E6"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Desde que inició sus funciones el Tribunal Superior de Justicia hasta el 1</w:t>
      </w:r>
      <w:r w:rsidR="0004589C" w:rsidRPr="001678E5">
        <w:rPr>
          <w:rFonts w:ascii="Times New Roman" w:hAnsi="Times New Roman"/>
          <w:color w:val="000000"/>
          <w:sz w:val="24"/>
          <w:szCs w:val="24"/>
        </w:rPr>
        <w:t>°</w:t>
      </w:r>
      <w:r w:rsidRPr="001678E5">
        <w:rPr>
          <w:rFonts w:ascii="Times New Roman" w:hAnsi="Times New Roman"/>
          <w:color w:val="000000"/>
          <w:sz w:val="24"/>
          <w:szCs w:val="24"/>
        </w:rPr>
        <w:t xml:space="preserve"> de ju</w:t>
      </w:r>
      <w:r w:rsidR="004709AE" w:rsidRPr="001678E5">
        <w:rPr>
          <w:rFonts w:ascii="Times New Roman" w:hAnsi="Times New Roman"/>
          <w:color w:val="000000"/>
          <w:sz w:val="24"/>
          <w:szCs w:val="24"/>
        </w:rPr>
        <w:t>nio</w:t>
      </w:r>
      <w:r w:rsidRPr="001678E5">
        <w:rPr>
          <w:rFonts w:ascii="Times New Roman" w:hAnsi="Times New Roman"/>
          <w:color w:val="000000"/>
          <w:sz w:val="24"/>
          <w:szCs w:val="24"/>
        </w:rPr>
        <w:t xml:space="preserve"> de 201</w:t>
      </w:r>
      <w:r w:rsidR="00BD4886" w:rsidRPr="001678E5">
        <w:rPr>
          <w:rFonts w:ascii="Times New Roman" w:hAnsi="Times New Roman"/>
          <w:color w:val="000000"/>
          <w:sz w:val="24"/>
          <w:szCs w:val="24"/>
        </w:rPr>
        <w:t>5</w:t>
      </w:r>
      <w:r w:rsidRPr="001678E5">
        <w:rPr>
          <w:rFonts w:ascii="Times New Roman" w:hAnsi="Times New Roman"/>
          <w:color w:val="000000"/>
          <w:sz w:val="24"/>
          <w:szCs w:val="24"/>
        </w:rPr>
        <w:t>, se han interpuesto 1</w:t>
      </w:r>
      <w:r w:rsidR="00F371F1" w:rsidRPr="001678E5">
        <w:rPr>
          <w:rFonts w:ascii="Times New Roman" w:hAnsi="Times New Roman"/>
          <w:color w:val="000000"/>
          <w:sz w:val="24"/>
          <w:szCs w:val="24"/>
        </w:rPr>
        <w:t>8</w:t>
      </w:r>
      <w:r w:rsidR="00BD4886" w:rsidRPr="001678E5">
        <w:rPr>
          <w:rFonts w:ascii="Times New Roman" w:hAnsi="Times New Roman"/>
          <w:color w:val="000000"/>
          <w:sz w:val="24"/>
          <w:szCs w:val="24"/>
        </w:rPr>
        <w:t>2</w:t>
      </w:r>
      <w:r w:rsidRPr="001678E5">
        <w:rPr>
          <w:rFonts w:ascii="Times New Roman" w:hAnsi="Times New Roman"/>
          <w:color w:val="000000"/>
          <w:sz w:val="24"/>
          <w:szCs w:val="24"/>
        </w:rPr>
        <w:t xml:space="preserve"> ADI. </w:t>
      </w:r>
      <w:r w:rsidR="00A86114" w:rsidRPr="001678E5">
        <w:rPr>
          <w:rFonts w:ascii="Times New Roman" w:hAnsi="Times New Roman"/>
          <w:color w:val="000000"/>
          <w:sz w:val="24"/>
          <w:szCs w:val="24"/>
        </w:rPr>
        <w:t>En dieciséis años que lleva de funcionamiento el Máximo Tribunal local</w:t>
      </w:r>
      <w:r w:rsidR="0004589C" w:rsidRPr="001678E5">
        <w:rPr>
          <w:rFonts w:ascii="Times New Roman" w:hAnsi="Times New Roman"/>
          <w:color w:val="000000"/>
          <w:sz w:val="24"/>
          <w:szCs w:val="24"/>
        </w:rPr>
        <w:t>, se la admitió</w:t>
      </w:r>
      <w:r w:rsidRPr="001678E5">
        <w:rPr>
          <w:rFonts w:ascii="Times New Roman" w:hAnsi="Times New Roman"/>
          <w:color w:val="000000"/>
          <w:sz w:val="24"/>
          <w:szCs w:val="24"/>
        </w:rPr>
        <w:t xml:space="preserve"> </w:t>
      </w:r>
      <w:r w:rsidR="00900DD9" w:rsidRPr="001678E5">
        <w:rPr>
          <w:rFonts w:ascii="Times New Roman" w:hAnsi="Times New Roman"/>
          <w:color w:val="000000"/>
          <w:sz w:val="24"/>
          <w:szCs w:val="24"/>
        </w:rPr>
        <w:t xml:space="preserve">en </w:t>
      </w:r>
      <w:r w:rsidR="00494A9C" w:rsidRPr="001678E5">
        <w:rPr>
          <w:rFonts w:ascii="Times New Roman" w:hAnsi="Times New Roman"/>
          <w:color w:val="000000"/>
          <w:sz w:val="24"/>
          <w:szCs w:val="24"/>
        </w:rPr>
        <w:t>trece</w:t>
      </w:r>
      <w:r w:rsidR="00900DD9" w:rsidRPr="001678E5">
        <w:rPr>
          <w:rFonts w:ascii="Times New Roman" w:hAnsi="Times New Roman"/>
          <w:color w:val="000000"/>
          <w:sz w:val="24"/>
          <w:szCs w:val="24"/>
        </w:rPr>
        <w:t xml:space="preserve"> oportunidades</w:t>
      </w:r>
      <w:r w:rsidR="00A86114" w:rsidRPr="001678E5">
        <w:rPr>
          <w:rFonts w:ascii="Times New Roman" w:hAnsi="Times New Roman"/>
          <w:color w:val="000000"/>
          <w:sz w:val="24"/>
          <w:szCs w:val="24"/>
        </w:rPr>
        <w:t>. Es</w:t>
      </w:r>
      <w:r w:rsidR="00F567DA" w:rsidRPr="001678E5">
        <w:rPr>
          <w:rFonts w:ascii="Times New Roman" w:hAnsi="Times New Roman"/>
          <w:color w:val="000000"/>
          <w:sz w:val="24"/>
          <w:szCs w:val="24"/>
        </w:rPr>
        <w:t xml:space="preserve"> decir</w:t>
      </w:r>
      <w:r w:rsidR="00A86114" w:rsidRPr="001678E5">
        <w:rPr>
          <w:rFonts w:ascii="Times New Roman" w:hAnsi="Times New Roman"/>
          <w:color w:val="000000"/>
          <w:sz w:val="24"/>
          <w:szCs w:val="24"/>
        </w:rPr>
        <w:t>,</w:t>
      </w:r>
      <w:r w:rsidR="00F567DA" w:rsidRPr="001678E5">
        <w:rPr>
          <w:rFonts w:ascii="Times New Roman" w:hAnsi="Times New Roman"/>
          <w:color w:val="000000"/>
          <w:sz w:val="24"/>
          <w:szCs w:val="24"/>
        </w:rPr>
        <w:t xml:space="preserve"> en un </w:t>
      </w:r>
      <w:r w:rsidR="00494A9C" w:rsidRPr="001678E5">
        <w:rPr>
          <w:rFonts w:ascii="Times New Roman" w:hAnsi="Times New Roman"/>
          <w:color w:val="000000"/>
          <w:sz w:val="24"/>
          <w:szCs w:val="24"/>
        </w:rPr>
        <w:t>7,</w:t>
      </w:r>
      <w:r w:rsidR="00BD4886" w:rsidRPr="001678E5">
        <w:rPr>
          <w:rFonts w:ascii="Times New Roman" w:hAnsi="Times New Roman"/>
          <w:color w:val="000000"/>
          <w:sz w:val="24"/>
          <w:szCs w:val="24"/>
        </w:rPr>
        <w:t>14</w:t>
      </w:r>
      <w:r w:rsidR="00F567DA" w:rsidRPr="001678E5">
        <w:rPr>
          <w:rFonts w:ascii="Times New Roman" w:hAnsi="Times New Roman"/>
          <w:color w:val="000000"/>
          <w:sz w:val="24"/>
          <w:szCs w:val="24"/>
        </w:rPr>
        <w:t>%</w:t>
      </w:r>
      <w:r w:rsidR="00900DD9" w:rsidRPr="001678E5">
        <w:rPr>
          <w:rFonts w:ascii="Times New Roman" w:hAnsi="Times New Roman"/>
          <w:color w:val="000000"/>
          <w:sz w:val="24"/>
          <w:szCs w:val="24"/>
        </w:rPr>
        <w:t xml:space="preserve">. </w:t>
      </w:r>
      <w:r w:rsidR="00F567DA" w:rsidRPr="001678E5">
        <w:rPr>
          <w:rFonts w:ascii="Times New Roman" w:hAnsi="Times New Roman"/>
          <w:color w:val="000000"/>
          <w:sz w:val="24"/>
          <w:szCs w:val="24"/>
        </w:rPr>
        <w:t xml:space="preserve">De esa admisión, se hizo lugar parcialmente en siete casos y solamente en </w:t>
      </w:r>
      <w:r w:rsidR="00C402BB" w:rsidRPr="001678E5">
        <w:rPr>
          <w:rFonts w:ascii="Times New Roman" w:hAnsi="Times New Roman"/>
          <w:color w:val="000000"/>
          <w:sz w:val="24"/>
          <w:szCs w:val="24"/>
        </w:rPr>
        <w:t>seis</w:t>
      </w:r>
      <w:r w:rsidR="00F567DA" w:rsidRPr="001678E5">
        <w:rPr>
          <w:rFonts w:ascii="Times New Roman" w:hAnsi="Times New Roman"/>
          <w:color w:val="000000"/>
          <w:sz w:val="24"/>
          <w:szCs w:val="24"/>
        </w:rPr>
        <w:t xml:space="preserve"> casos se hizo lugar en forma total. Es decir, se admitió parcialmente la acción en un 3,</w:t>
      </w:r>
      <w:r w:rsidR="00BD4886" w:rsidRPr="001678E5">
        <w:rPr>
          <w:rFonts w:ascii="Times New Roman" w:hAnsi="Times New Roman"/>
          <w:color w:val="000000"/>
          <w:sz w:val="24"/>
          <w:szCs w:val="24"/>
        </w:rPr>
        <w:t>84</w:t>
      </w:r>
      <w:proofErr w:type="gramStart"/>
      <w:r w:rsidR="00F567DA" w:rsidRPr="001678E5">
        <w:rPr>
          <w:rFonts w:ascii="Times New Roman" w:hAnsi="Times New Roman"/>
          <w:color w:val="000000"/>
          <w:sz w:val="24"/>
          <w:szCs w:val="24"/>
        </w:rPr>
        <w:t>% ,</w:t>
      </w:r>
      <w:proofErr w:type="gramEnd"/>
      <w:r w:rsidR="00F567DA" w:rsidRPr="001678E5">
        <w:rPr>
          <w:rFonts w:ascii="Times New Roman" w:hAnsi="Times New Roman"/>
          <w:color w:val="000000"/>
          <w:sz w:val="24"/>
          <w:szCs w:val="24"/>
        </w:rPr>
        <w:t xml:space="preserve"> y en forma total en </w:t>
      </w:r>
      <w:r w:rsidR="00945558" w:rsidRPr="001678E5">
        <w:rPr>
          <w:rFonts w:ascii="Times New Roman" w:hAnsi="Times New Roman"/>
          <w:color w:val="000000"/>
          <w:sz w:val="24"/>
          <w:szCs w:val="24"/>
        </w:rPr>
        <w:t>un</w:t>
      </w:r>
      <w:r w:rsidR="00F567DA" w:rsidRPr="001678E5">
        <w:rPr>
          <w:rFonts w:ascii="Times New Roman" w:hAnsi="Times New Roman"/>
          <w:color w:val="000000"/>
          <w:sz w:val="24"/>
          <w:szCs w:val="24"/>
        </w:rPr>
        <w:t xml:space="preserve"> </w:t>
      </w:r>
      <w:r w:rsidR="00F371F1" w:rsidRPr="001678E5">
        <w:rPr>
          <w:rFonts w:ascii="Times New Roman" w:hAnsi="Times New Roman"/>
          <w:color w:val="000000"/>
          <w:sz w:val="24"/>
          <w:szCs w:val="24"/>
        </w:rPr>
        <w:t>3,</w:t>
      </w:r>
      <w:r w:rsidR="00BD4886" w:rsidRPr="001678E5">
        <w:rPr>
          <w:rFonts w:ascii="Times New Roman" w:hAnsi="Times New Roman"/>
          <w:color w:val="000000"/>
          <w:sz w:val="24"/>
          <w:szCs w:val="24"/>
        </w:rPr>
        <w:t>29</w:t>
      </w:r>
      <w:r w:rsidR="00F567DA" w:rsidRPr="001678E5">
        <w:rPr>
          <w:rFonts w:ascii="Times New Roman" w:hAnsi="Times New Roman"/>
          <w:color w:val="000000"/>
          <w:sz w:val="24"/>
          <w:szCs w:val="24"/>
        </w:rPr>
        <w:t xml:space="preserve">% </w:t>
      </w:r>
    </w:p>
    <w:p w:rsidR="00900DD9" w:rsidRPr="001678E5" w:rsidRDefault="00900DD9"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Como se puede observar en el cuadro, mayoritariamente las acciones han sido rechazadas por</w:t>
      </w:r>
      <w:r w:rsidR="00F567DA" w:rsidRPr="001678E5">
        <w:rPr>
          <w:rFonts w:ascii="Times New Roman" w:hAnsi="Times New Roman"/>
          <w:color w:val="000000"/>
          <w:sz w:val="24"/>
          <w:szCs w:val="24"/>
        </w:rPr>
        <w:t xml:space="preserve"> las siguientes razones</w:t>
      </w:r>
      <w:r w:rsidRPr="001678E5">
        <w:rPr>
          <w:rFonts w:ascii="Times New Roman" w:hAnsi="Times New Roman"/>
          <w:color w:val="000000"/>
          <w:sz w:val="24"/>
          <w:szCs w:val="24"/>
        </w:rPr>
        <w:t>:</w:t>
      </w:r>
    </w:p>
    <w:p w:rsidR="00900DD9" w:rsidRPr="001678E5" w:rsidRDefault="00900DD9"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1) cuestiones formales, </w:t>
      </w:r>
    </w:p>
    <w:p w:rsidR="00900DD9" w:rsidRPr="001678E5" w:rsidRDefault="00900DD9"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2) intimación para que el actor explique o fundamente su presentación;</w:t>
      </w:r>
    </w:p>
    <w:p w:rsidR="00900DD9" w:rsidRPr="001678E5" w:rsidRDefault="00900DD9"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3) inacción del actor,</w:t>
      </w:r>
    </w:p>
    <w:p w:rsidR="00900DD9" w:rsidRPr="001678E5" w:rsidRDefault="00900DD9"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4) desistimiento;</w:t>
      </w:r>
    </w:p>
    <w:p w:rsidR="00900DD9" w:rsidRPr="001678E5" w:rsidRDefault="00900DD9"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5) declaración de incompetencia del Tribunal</w:t>
      </w:r>
    </w:p>
    <w:p w:rsidR="00900DD9" w:rsidRPr="001678E5" w:rsidRDefault="00900DD9"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6) porque la cuestión había devenido abstracta.</w:t>
      </w:r>
    </w:p>
    <w:p w:rsidR="00656525" w:rsidRPr="001678E5" w:rsidRDefault="007E5050"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Lo que se puede advertir es que muy pocas acciones fueron admitidas, y las que fueron rechazadas el TSJ no entró a analizar la cuestión de fondo, sino que centró su acci</w:t>
      </w:r>
      <w:r w:rsidR="00F567DA" w:rsidRPr="001678E5">
        <w:rPr>
          <w:rFonts w:ascii="Times New Roman" w:hAnsi="Times New Roman"/>
          <w:color w:val="000000"/>
          <w:sz w:val="24"/>
          <w:szCs w:val="24"/>
        </w:rPr>
        <w:t>onar en aspectos formales.</w:t>
      </w:r>
    </w:p>
    <w:p w:rsidR="001070FD" w:rsidRPr="001678E5" w:rsidRDefault="001070FD" w:rsidP="001678E5">
      <w:pPr>
        <w:pStyle w:val="Textonotapie"/>
        <w:spacing w:after="0"/>
        <w:ind w:firstLine="709"/>
        <w:jc w:val="both"/>
        <w:rPr>
          <w:rFonts w:ascii="Times New Roman" w:hAnsi="Times New Roman"/>
          <w:color w:val="000000"/>
          <w:sz w:val="24"/>
          <w:szCs w:val="24"/>
        </w:rPr>
      </w:pPr>
    </w:p>
    <w:p w:rsidR="00847351" w:rsidRPr="001678E5" w:rsidRDefault="00547796" w:rsidP="001678E5">
      <w:pPr>
        <w:pStyle w:val="Ttulo2"/>
        <w:rPr>
          <w:rFonts w:ascii="Times New Roman" w:hAnsi="Times New Roman"/>
          <w:sz w:val="24"/>
          <w:szCs w:val="24"/>
        </w:rPr>
      </w:pPr>
      <w:r w:rsidRPr="001678E5">
        <w:rPr>
          <w:rFonts w:ascii="Times New Roman" w:hAnsi="Times New Roman"/>
          <w:sz w:val="24"/>
          <w:szCs w:val="24"/>
        </w:rPr>
        <w:t xml:space="preserve">¿Quiénes interponen la acción? </w:t>
      </w:r>
    </w:p>
    <w:p w:rsidR="00547796" w:rsidRPr="001678E5" w:rsidRDefault="00547796"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Un dato importante es que esta acción, concebida como una acción popular, para que el pueblo pueda participar</w:t>
      </w:r>
      <w:r w:rsidR="00E9542C" w:rsidRPr="001678E5">
        <w:rPr>
          <w:rFonts w:ascii="Times New Roman" w:hAnsi="Times New Roman"/>
          <w:color w:val="000000"/>
          <w:sz w:val="24"/>
          <w:szCs w:val="24"/>
        </w:rPr>
        <w:t xml:space="preserve"> y propiciar al sostenimiento de los valores constitucionales</w:t>
      </w:r>
      <w:r w:rsidRPr="001678E5">
        <w:rPr>
          <w:rFonts w:ascii="Times New Roman" w:hAnsi="Times New Roman"/>
          <w:color w:val="000000"/>
          <w:sz w:val="24"/>
          <w:szCs w:val="24"/>
        </w:rPr>
        <w:t>, no es tal</w:t>
      </w:r>
      <w:r w:rsidR="00181005" w:rsidRPr="001678E5">
        <w:rPr>
          <w:rFonts w:ascii="Times New Roman" w:hAnsi="Times New Roman"/>
          <w:color w:val="000000"/>
          <w:sz w:val="24"/>
          <w:szCs w:val="24"/>
        </w:rPr>
        <w:t xml:space="preserve">. </w:t>
      </w:r>
      <w:r w:rsidR="007E5050" w:rsidRPr="001678E5">
        <w:rPr>
          <w:rFonts w:ascii="Times New Roman" w:hAnsi="Times New Roman"/>
          <w:color w:val="000000"/>
          <w:sz w:val="24"/>
          <w:szCs w:val="24"/>
        </w:rPr>
        <w:t>Así,</w:t>
      </w:r>
      <w:r w:rsidR="00181005" w:rsidRPr="001678E5">
        <w:rPr>
          <w:rFonts w:ascii="Times New Roman" w:hAnsi="Times New Roman"/>
          <w:color w:val="000000"/>
          <w:sz w:val="24"/>
          <w:szCs w:val="24"/>
        </w:rPr>
        <w:t xml:space="preserve"> lo</w:t>
      </w:r>
      <w:r w:rsidRPr="001678E5">
        <w:rPr>
          <w:rFonts w:ascii="Times New Roman" w:hAnsi="Times New Roman"/>
          <w:color w:val="000000"/>
          <w:sz w:val="24"/>
          <w:szCs w:val="24"/>
        </w:rPr>
        <w:t xml:space="preserve">s actores son </w:t>
      </w:r>
      <w:r w:rsidR="00C6070D" w:rsidRPr="001678E5">
        <w:rPr>
          <w:rFonts w:ascii="Times New Roman" w:hAnsi="Times New Roman"/>
          <w:color w:val="000000"/>
          <w:sz w:val="24"/>
          <w:szCs w:val="24"/>
        </w:rPr>
        <w:t xml:space="preserve">mayoritariamente </w:t>
      </w:r>
      <w:r w:rsidRPr="001678E5">
        <w:rPr>
          <w:rFonts w:ascii="Times New Roman" w:hAnsi="Times New Roman"/>
          <w:color w:val="000000"/>
          <w:sz w:val="24"/>
          <w:szCs w:val="24"/>
        </w:rPr>
        <w:t>diputados</w:t>
      </w:r>
      <w:r w:rsidR="00913F0E" w:rsidRPr="001678E5">
        <w:rPr>
          <w:rFonts w:ascii="Times New Roman" w:hAnsi="Times New Roman"/>
          <w:color w:val="000000"/>
          <w:sz w:val="24"/>
          <w:szCs w:val="24"/>
        </w:rPr>
        <w:t xml:space="preserve"> (</w:t>
      </w:r>
      <w:r w:rsidR="00E66C88" w:rsidRPr="001678E5">
        <w:rPr>
          <w:rFonts w:ascii="Times New Roman" w:hAnsi="Times New Roman"/>
          <w:color w:val="000000"/>
          <w:sz w:val="24"/>
          <w:szCs w:val="24"/>
        </w:rPr>
        <w:t xml:space="preserve">quienes </w:t>
      </w:r>
      <w:r w:rsidR="00E66C88" w:rsidRPr="001678E5">
        <w:rPr>
          <w:rFonts w:ascii="Times New Roman" w:hAnsi="Times New Roman"/>
          <w:color w:val="000000"/>
          <w:sz w:val="24"/>
          <w:szCs w:val="24"/>
        </w:rPr>
        <w:lastRenderedPageBreak/>
        <w:t>tienen inmunidades y privilegios</w:t>
      </w:r>
      <w:r w:rsidR="00913F0E" w:rsidRPr="001678E5">
        <w:rPr>
          <w:rFonts w:ascii="Times New Roman" w:hAnsi="Times New Roman"/>
          <w:color w:val="000000"/>
          <w:sz w:val="24"/>
          <w:szCs w:val="24"/>
        </w:rPr>
        <w:t>),</w:t>
      </w:r>
      <w:r w:rsidR="00E66C88" w:rsidRPr="001678E5">
        <w:rPr>
          <w:rFonts w:ascii="Times New Roman" w:hAnsi="Times New Roman"/>
          <w:color w:val="000000"/>
          <w:sz w:val="24"/>
          <w:szCs w:val="24"/>
        </w:rPr>
        <w:t xml:space="preserve"> </w:t>
      </w:r>
      <w:r w:rsidRPr="001678E5">
        <w:rPr>
          <w:rFonts w:ascii="Times New Roman" w:hAnsi="Times New Roman"/>
          <w:color w:val="000000"/>
          <w:sz w:val="24"/>
          <w:szCs w:val="24"/>
        </w:rPr>
        <w:t>corporaciones empresarias</w:t>
      </w:r>
      <w:r w:rsidR="00913F0E" w:rsidRPr="001678E5">
        <w:rPr>
          <w:rFonts w:ascii="Times New Roman" w:hAnsi="Times New Roman"/>
          <w:color w:val="000000"/>
          <w:sz w:val="24"/>
          <w:szCs w:val="24"/>
        </w:rPr>
        <w:t>, empresas</w:t>
      </w:r>
      <w:r w:rsidR="00E66C88" w:rsidRPr="001678E5">
        <w:rPr>
          <w:rFonts w:ascii="Times New Roman" w:hAnsi="Times New Roman"/>
          <w:color w:val="000000"/>
          <w:sz w:val="24"/>
          <w:szCs w:val="24"/>
        </w:rPr>
        <w:t xml:space="preserve">, </w:t>
      </w:r>
      <w:r w:rsidR="004817B5" w:rsidRPr="001678E5">
        <w:rPr>
          <w:rFonts w:ascii="Times New Roman" w:hAnsi="Times New Roman"/>
          <w:color w:val="000000"/>
          <w:sz w:val="24"/>
          <w:szCs w:val="24"/>
        </w:rPr>
        <w:t>abogados</w:t>
      </w:r>
      <w:r w:rsidR="008948E2" w:rsidRPr="001678E5">
        <w:rPr>
          <w:rFonts w:ascii="Times New Roman" w:hAnsi="Times New Roman"/>
          <w:color w:val="000000"/>
          <w:sz w:val="24"/>
          <w:szCs w:val="24"/>
        </w:rPr>
        <w:t>,</w:t>
      </w:r>
      <w:r w:rsidR="00E66C88" w:rsidRPr="001678E5">
        <w:rPr>
          <w:rFonts w:ascii="Times New Roman" w:hAnsi="Times New Roman"/>
          <w:color w:val="000000"/>
          <w:sz w:val="24"/>
          <w:szCs w:val="24"/>
        </w:rPr>
        <w:t xml:space="preserve"> o comerciantes</w:t>
      </w:r>
      <w:r w:rsidR="00E9542C" w:rsidRPr="001678E5">
        <w:rPr>
          <w:rFonts w:ascii="Times New Roman" w:hAnsi="Times New Roman"/>
          <w:color w:val="000000"/>
          <w:sz w:val="24"/>
          <w:szCs w:val="24"/>
        </w:rPr>
        <w:t>.</w:t>
      </w:r>
      <w:r w:rsidR="00181005" w:rsidRPr="001678E5">
        <w:rPr>
          <w:rFonts w:ascii="Times New Roman" w:hAnsi="Times New Roman"/>
          <w:color w:val="000000"/>
          <w:sz w:val="24"/>
          <w:szCs w:val="24"/>
        </w:rPr>
        <w:t xml:space="preserve"> Es decir, el ciudadano común</w:t>
      </w:r>
      <w:r w:rsidR="00FA1A8A" w:rsidRPr="001678E5">
        <w:rPr>
          <w:rFonts w:ascii="Times New Roman" w:hAnsi="Times New Roman"/>
          <w:color w:val="000000"/>
          <w:sz w:val="24"/>
          <w:szCs w:val="24"/>
        </w:rPr>
        <w:t xml:space="preserve"> (</w:t>
      </w:r>
      <w:r w:rsidR="00181005" w:rsidRPr="001678E5">
        <w:rPr>
          <w:rFonts w:ascii="Times New Roman" w:hAnsi="Times New Roman"/>
          <w:color w:val="000000"/>
          <w:sz w:val="24"/>
          <w:szCs w:val="24"/>
        </w:rPr>
        <w:t xml:space="preserve">el que carece de </w:t>
      </w:r>
      <w:r w:rsidR="00E66C88" w:rsidRPr="001678E5">
        <w:rPr>
          <w:rFonts w:ascii="Times New Roman" w:hAnsi="Times New Roman"/>
          <w:color w:val="000000"/>
          <w:sz w:val="24"/>
          <w:szCs w:val="24"/>
        </w:rPr>
        <w:t xml:space="preserve">aquellas inmunidades y privilegios, el que no tiene poderío económico o no ostenta un </w:t>
      </w:r>
      <w:r w:rsidR="00181005" w:rsidRPr="001678E5">
        <w:rPr>
          <w:rFonts w:ascii="Times New Roman" w:hAnsi="Times New Roman"/>
          <w:color w:val="000000"/>
          <w:sz w:val="24"/>
          <w:szCs w:val="24"/>
        </w:rPr>
        <w:t>título profesional</w:t>
      </w:r>
      <w:r w:rsidR="00FA1A8A" w:rsidRPr="001678E5">
        <w:rPr>
          <w:rFonts w:ascii="Times New Roman" w:hAnsi="Times New Roman"/>
          <w:color w:val="000000"/>
          <w:sz w:val="24"/>
          <w:szCs w:val="24"/>
        </w:rPr>
        <w:t>)</w:t>
      </w:r>
      <w:r w:rsidR="00181005" w:rsidRPr="001678E5">
        <w:rPr>
          <w:rFonts w:ascii="Times New Roman" w:hAnsi="Times New Roman"/>
          <w:color w:val="000000"/>
          <w:sz w:val="24"/>
          <w:szCs w:val="24"/>
        </w:rPr>
        <w:t xml:space="preserve"> no ha interpuesto esta acción</w:t>
      </w:r>
      <w:r w:rsidR="00E66C88" w:rsidRPr="001678E5">
        <w:rPr>
          <w:rFonts w:ascii="Times New Roman" w:hAnsi="Times New Roman"/>
          <w:color w:val="000000"/>
          <w:sz w:val="24"/>
          <w:szCs w:val="24"/>
        </w:rPr>
        <w:t>.</w:t>
      </w:r>
    </w:p>
    <w:p w:rsidR="00181005" w:rsidRPr="001678E5" w:rsidRDefault="00181005"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Del mismo modo, la mayoría de las sentencias revela que no se han interpuesto para el sostenimiento de los valores constitucionales, sino para gestionar un interés particular.</w:t>
      </w:r>
    </w:p>
    <w:p w:rsidR="004817B5" w:rsidRPr="001678E5" w:rsidRDefault="004817B5"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En el caso de los legisladores</w:t>
      </w:r>
      <w:r w:rsidR="00913F0E" w:rsidRPr="001678E5">
        <w:rPr>
          <w:rFonts w:ascii="Times New Roman" w:hAnsi="Times New Roman"/>
          <w:color w:val="000000"/>
          <w:sz w:val="24"/>
          <w:szCs w:val="24"/>
        </w:rPr>
        <w:t xml:space="preserve"> — según </w:t>
      </w:r>
      <w:r w:rsidRPr="001678E5">
        <w:rPr>
          <w:rFonts w:ascii="Times New Roman" w:hAnsi="Times New Roman"/>
          <w:color w:val="000000"/>
          <w:sz w:val="24"/>
          <w:szCs w:val="24"/>
        </w:rPr>
        <w:t xml:space="preserve">los datos consignados </w:t>
      </w:r>
      <w:r w:rsidR="00913F0E" w:rsidRPr="001678E5">
        <w:rPr>
          <w:rFonts w:ascii="Times New Roman" w:hAnsi="Times New Roman"/>
          <w:color w:val="000000"/>
          <w:sz w:val="24"/>
          <w:szCs w:val="24"/>
        </w:rPr>
        <w:t xml:space="preserve">en el cuadro— parecería </w:t>
      </w:r>
      <w:r w:rsidRPr="001678E5">
        <w:rPr>
          <w:rFonts w:ascii="Times New Roman" w:hAnsi="Times New Roman"/>
          <w:color w:val="000000"/>
          <w:sz w:val="24"/>
          <w:szCs w:val="24"/>
        </w:rPr>
        <w:t>que esta acción es utilizada cuando no logran obtener los consensos necesarios en el ámbito específico de sus incumbencias</w:t>
      </w:r>
      <w:r w:rsidR="00913F0E" w:rsidRPr="001678E5">
        <w:rPr>
          <w:rFonts w:ascii="Times New Roman" w:hAnsi="Times New Roman"/>
          <w:color w:val="000000"/>
          <w:sz w:val="24"/>
          <w:szCs w:val="24"/>
        </w:rPr>
        <w:t>. En consecuencia, recurren a aquella</w:t>
      </w:r>
      <w:r w:rsidRPr="001678E5">
        <w:rPr>
          <w:rFonts w:ascii="Times New Roman" w:hAnsi="Times New Roman"/>
          <w:color w:val="000000"/>
          <w:sz w:val="24"/>
          <w:szCs w:val="24"/>
        </w:rPr>
        <w:t xml:space="preserve"> para obstaculizar la acción de gobierno, o </w:t>
      </w:r>
      <w:r w:rsidR="00E9542C" w:rsidRPr="001678E5">
        <w:rPr>
          <w:rFonts w:ascii="Times New Roman" w:hAnsi="Times New Roman"/>
          <w:color w:val="000000"/>
          <w:sz w:val="24"/>
          <w:szCs w:val="24"/>
        </w:rPr>
        <w:t>a</w:t>
      </w:r>
      <w:r w:rsidRPr="001678E5">
        <w:rPr>
          <w:rFonts w:ascii="Times New Roman" w:hAnsi="Times New Roman"/>
          <w:color w:val="000000"/>
          <w:sz w:val="24"/>
          <w:szCs w:val="24"/>
        </w:rPr>
        <w:t>nte la imposibilidad de aceptar su derrota en la arena política.</w:t>
      </w:r>
    </w:p>
    <w:p w:rsidR="004817B5" w:rsidRPr="001678E5" w:rsidRDefault="004817B5"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En el caso de los abogados también se nota una particularidad, </w:t>
      </w:r>
      <w:r w:rsidR="00913F0E" w:rsidRPr="001678E5">
        <w:rPr>
          <w:rFonts w:ascii="Times New Roman" w:hAnsi="Times New Roman"/>
          <w:color w:val="000000"/>
          <w:sz w:val="24"/>
          <w:szCs w:val="24"/>
        </w:rPr>
        <w:t>parecería que utilizan esta herramienta jurídica para la gestión de un interés profesional.</w:t>
      </w:r>
    </w:p>
    <w:p w:rsidR="004817B5" w:rsidRPr="001678E5" w:rsidRDefault="004817B5"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En el caso de las empresas, la acción se interpone no para salvaguardar el interés general, sino para resguardar un interés sectorial específico.</w:t>
      </w:r>
    </w:p>
    <w:p w:rsidR="00AA000C" w:rsidRPr="001678E5" w:rsidRDefault="00CB4D60"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En suma, </w:t>
      </w:r>
      <w:r w:rsidR="004817B5" w:rsidRPr="001678E5">
        <w:rPr>
          <w:rFonts w:ascii="Times New Roman" w:hAnsi="Times New Roman"/>
          <w:color w:val="000000"/>
          <w:sz w:val="24"/>
          <w:szCs w:val="24"/>
        </w:rPr>
        <w:t xml:space="preserve">la acción declarativa de inconstitucionalidad </w:t>
      </w:r>
      <w:r w:rsidRPr="001678E5">
        <w:rPr>
          <w:rFonts w:ascii="Times New Roman" w:hAnsi="Times New Roman"/>
          <w:color w:val="000000"/>
          <w:sz w:val="24"/>
          <w:szCs w:val="24"/>
        </w:rPr>
        <w:t xml:space="preserve">ideada para propiciar la participación del pueblo, </w:t>
      </w:r>
      <w:r w:rsidR="008948E2" w:rsidRPr="001678E5">
        <w:rPr>
          <w:rFonts w:ascii="Times New Roman" w:hAnsi="Times New Roman"/>
          <w:color w:val="000000"/>
          <w:sz w:val="24"/>
          <w:szCs w:val="24"/>
        </w:rPr>
        <w:t>del ciudadano común, paradójicamente su ejercicio</w:t>
      </w:r>
      <w:r w:rsidR="004817B5" w:rsidRPr="001678E5">
        <w:rPr>
          <w:rFonts w:ascii="Times New Roman" w:hAnsi="Times New Roman"/>
          <w:color w:val="000000"/>
          <w:sz w:val="24"/>
          <w:szCs w:val="24"/>
        </w:rPr>
        <w:t xml:space="preserve"> </w:t>
      </w:r>
      <w:r w:rsidR="00C014A6" w:rsidRPr="001678E5">
        <w:rPr>
          <w:rFonts w:ascii="Times New Roman" w:hAnsi="Times New Roman"/>
          <w:color w:val="000000"/>
          <w:sz w:val="24"/>
          <w:szCs w:val="24"/>
        </w:rPr>
        <w:t xml:space="preserve">ha sido </w:t>
      </w:r>
      <w:proofErr w:type="gramStart"/>
      <w:r w:rsidR="00C014A6" w:rsidRPr="001678E5">
        <w:rPr>
          <w:rFonts w:ascii="Times New Roman" w:hAnsi="Times New Roman"/>
          <w:color w:val="000000"/>
          <w:sz w:val="24"/>
          <w:szCs w:val="24"/>
        </w:rPr>
        <w:t>llevado</w:t>
      </w:r>
      <w:proofErr w:type="gramEnd"/>
      <w:r w:rsidR="00C014A6" w:rsidRPr="001678E5">
        <w:rPr>
          <w:rFonts w:ascii="Times New Roman" w:hAnsi="Times New Roman"/>
          <w:color w:val="000000"/>
          <w:sz w:val="24"/>
          <w:szCs w:val="24"/>
        </w:rPr>
        <w:t xml:space="preserve"> adelante por</w:t>
      </w:r>
      <w:r w:rsidR="0004589C" w:rsidRPr="001678E5">
        <w:rPr>
          <w:rStyle w:val="Refdenotaalpie"/>
          <w:rFonts w:ascii="Times New Roman" w:hAnsi="Times New Roman"/>
          <w:color w:val="000000"/>
          <w:sz w:val="24"/>
          <w:szCs w:val="24"/>
        </w:rPr>
        <w:footnoteReference w:id="5"/>
      </w:r>
      <w:r w:rsidR="006838D7" w:rsidRPr="001678E5">
        <w:rPr>
          <w:rFonts w:ascii="Times New Roman" w:hAnsi="Times New Roman"/>
          <w:color w:val="000000"/>
          <w:sz w:val="24"/>
          <w:szCs w:val="24"/>
        </w:rPr>
        <w:t>:</w:t>
      </w:r>
      <w:r w:rsidR="00C014A6" w:rsidRPr="001678E5">
        <w:rPr>
          <w:rFonts w:ascii="Times New Roman" w:hAnsi="Times New Roman"/>
          <w:color w:val="000000"/>
          <w:sz w:val="24"/>
          <w:szCs w:val="24"/>
        </w:rPr>
        <w:t xml:space="preserve"> </w:t>
      </w:r>
    </w:p>
    <w:p w:rsidR="00494A9C" w:rsidRPr="001678E5" w:rsidRDefault="0004589C"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w:t>
      </w:r>
      <w:r w:rsidR="00494A9C" w:rsidRPr="001678E5">
        <w:rPr>
          <w:rFonts w:ascii="Times New Roman" w:hAnsi="Times New Roman"/>
          <w:color w:val="000000"/>
          <w:sz w:val="24"/>
          <w:szCs w:val="24"/>
        </w:rPr>
        <w:t xml:space="preserve"> Comerciantes y empresarios (20,</w:t>
      </w:r>
      <w:r w:rsidR="000F14CF" w:rsidRPr="001678E5">
        <w:rPr>
          <w:rFonts w:ascii="Times New Roman" w:hAnsi="Times New Roman"/>
          <w:color w:val="000000"/>
          <w:sz w:val="24"/>
          <w:szCs w:val="24"/>
        </w:rPr>
        <w:t>55</w:t>
      </w:r>
      <w:r w:rsidR="00494A9C" w:rsidRPr="001678E5">
        <w:rPr>
          <w:rFonts w:ascii="Times New Roman" w:hAnsi="Times New Roman"/>
          <w:color w:val="000000"/>
          <w:sz w:val="24"/>
          <w:szCs w:val="24"/>
        </w:rPr>
        <w:t>%)</w:t>
      </w:r>
    </w:p>
    <w:p w:rsidR="00494A9C" w:rsidRPr="001678E5" w:rsidRDefault="00494A9C"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Juristas  (1</w:t>
      </w:r>
      <w:r w:rsidR="000F14CF" w:rsidRPr="001678E5">
        <w:rPr>
          <w:rFonts w:ascii="Times New Roman" w:hAnsi="Times New Roman"/>
          <w:color w:val="000000"/>
          <w:sz w:val="24"/>
          <w:szCs w:val="24"/>
        </w:rPr>
        <w:t>4</w:t>
      </w:r>
      <w:r w:rsidRPr="001678E5">
        <w:rPr>
          <w:rFonts w:ascii="Times New Roman" w:hAnsi="Times New Roman"/>
          <w:color w:val="000000"/>
          <w:sz w:val="24"/>
          <w:szCs w:val="24"/>
        </w:rPr>
        <w:t>,</w:t>
      </w:r>
      <w:r w:rsidR="000F14CF" w:rsidRPr="001678E5">
        <w:rPr>
          <w:rFonts w:ascii="Times New Roman" w:hAnsi="Times New Roman"/>
          <w:color w:val="000000"/>
          <w:sz w:val="24"/>
          <w:szCs w:val="24"/>
        </w:rPr>
        <w:t>44</w:t>
      </w:r>
      <w:r w:rsidRPr="001678E5">
        <w:rPr>
          <w:rFonts w:ascii="Times New Roman" w:hAnsi="Times New Roman"/>
          <w:color w:val="000000"/>
          <w:sz w:val="24"/>
          <w:szCs w:val="24"/>
        </w:rPr>
        <w:t>%)</w:t>
      </w:r>
    </w:p>
    <w:p w:rsidR="00494A9C" w:rsidRPr="001678E5" w:rsidRDefault="00494A9C"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Legisladores y políticos (</w:t>
      </w:r>
      <w:r w:rsidR="000F14CF" w:rsidRPr="001678E5">
        <w:rPr>
          <w:rFonts w:ascii="Times New Roman" w:hAnsi="Times New Roman"/>
          <w:color w:val="000000"/>
          <w:sz w:val="24"/>
          <w:szCs w:val="24"/>
        </w:rPr>
        <w:t>10</w:t>
      </w:r>
      <w:r w:rsidRPr="001678E5">
        <w:rPr>
          <w:rFonts w:ascii="Times New Roman" w:hAnsi="Times New Roman"/>
          <w:color w:val="000000"/>
          <w:sz w:val="24"/>
          <w:szCs w:val="24"/>
        </w:rPr>
        <w:t>%)</w:t>
      </w:r>
    </w:p>
    <w:p w:rsidR="00494A9C" w:rsidRPr="001678E5" w:rsidRDefault="00494A9C"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Sociedades comerciales (10%)</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Asociaciones civiles, ONG y fundaciones (</w:t>
      </w:r>
      <w:r w:rsidR="000F14CF" w:rsidRPr="001678E5">
        <w:rPr>
          <w:rFonts w:ascii="Times New Roman" w:hAnsi="Times New Roman"/>
          <w:color w:val="000000"/>
          <w:sz w:val="24"/>
          <w:szCs w:val="24"/>
        </w:rPr>
        <w:t>8,33</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Corporación Empresaria (</w:t>
      </w:r>
      <w:r w:rsidR="005E5991" w:rsidRPr="001678E5">
        <w:rPr>
          <w:rFonts w:ascii="Times New Roman" w:hAnsi="Times New Roman"/>
          <w:color w:val="000000"/>
          <w:sz w:val="24"/>
          <w:szCs w:val="24"/>
        </w:rPr>
        <w:t>3,88</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lastRenderedPageBreak/>
        <w:t xml:space="preserve">— </w:t>
      </w:r>
      <w:r w:rsidR="00494A9C" w:rsidRPr="001678E5">
        <w:rPr>
          <w:rFonts w:ascii="Times New Roman" w:hAnsi="Times New Roman"/>
          <w:color w:val="000000"/>
          <w:sz w:val="24"/>
          <w:szCs w:val="24"/>
        </w:rPr>
        <w:t>Entidades sindicales (</w:t>
      </w:r>
      <w:r w:rsidR="000F14CF" w:rsidRPr="001678E5">
        <w:rPr>
          <w:rFonts w:ascii="Times New Roman" w:hAnsi="Times New Roman"/>
          <w:color w:val="000000"/>
          <w:sz w:val="24"/>
          <w:szCs w:val="24"/>
        </w:rPr>
        <w:t>2,77</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Ministerio Público (2,7</w:t>
      </w:r>
      <w:r w:rsidR="000F14CF" w:rsidRPr="001678E5">
        <w:rPr>
          <w:rFonts w:ascii="Times New Roman" w:hAnsi="Times New Roman"/>
          <w:color w:val="000000"/>
          <w:sz w:val="24"/>
          <w:szCs w:val="24"/>
        </w:rPr>
        <w:t>7</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Profesionales -escribanos, arquitectos, contadores, periodista- (2,7</w:t>
      </w:r>
      <w:r w:rsidR="000F14CF" w:rsidRPr="001678E5">
        <w:rPr>
          <w:rFonts w:ascii="Times New Roman" w:hAnsi="Times New Roman"/>
          <w:color w:val="000000"/>
          <w:sz w:val="24"/>
          <w:szCs w:val="24"/>
        </w:rPr>
        <w:t>7</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Docentes para la defensa de su salario (</w:t>
      </w:r>
      <w:r w:rsidR="00616E0D" w:rsidRPr="001678E5">
        <w:rPr>
          <w:rFonts w:ascii="Times New Roman" w:hAnsi="Times New Roman"/>
          <w:color w:val="000000"/>
          <w:sz w:val="24"/>
          <w:szCs w:val="24"/>
        </w:rPr>
        <w:t>2,22</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Empleados del GCBA (2,2</w:t>
      </w:r>
      <w:r w:rsidR="00616E0D" w:rsidRPr="001678E5">
        <w:rPr>
          <w:rFonts w:ascii="Times New Roman" w:hAnsi="Times New Roman"/>
          <w:color w:val="000000"/>
          <w:sz w:val="24"/>
          <w:szCs w:val="24"/>
        </w:rPr>
        <w:t>2</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Defensoría del Pueblo (2,2</w:t>
      </w:r>
      <w:r w:rsidR="00616E0D" w:rsidRPr="001678E5">
        <w:rPr>
          <w:rFonts w:ascii="Times New Roman" w:hAnsi="Times New Roman"/>
          <w:color w:val="000000"/>
          <w:sz w:val="24"/>
          <w:szCs w:val="24"/>
        </w:rPr>
        <w:t>2</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Banco (0,55%)</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Colegios Profesionales (1,6</w:t>
      </w:r>
      <w:r w:rsidR="005E5991" w:rsidRPr="001678E5">
        <w:rPr>
          <w:rFonts w:ascii="Times New Roman" w:hAnsi="Times New Roman"/>
          <w:color w:val="000000"/>
          <w:sz w:val="24"/>
          <w:szCs w:val="24"/>
        </w:rPr>
        <w:t>6</w:t>
      </w:r>
      <w:r w:rsidR="00494A9C" w:rsidRPr="001678E5">
        <w:rPr>
          <w:rFonts w:ascii="Times New Roman" w:hAnsi="Times New Roman"/>
          <w:color w:val="000000"/>
          <w:sz w:val="24"/>
          <w:szCs w:val="24"/>
        </w:rPr>
        <w:t>%)</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Jueces (1,11%)</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Taxista (0,55%)</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Militar (0,55%)</w:t>
      </w:r>
    </w:p>
    <w:p w:rsidR="00494A9C" w:rsidRPr="001678E5" w:rsidRDefault="008F4FB4"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 </w:t>
      </w:r>
      <w:r w:rsidR="00494A9C" w:rsidRPr="001678E5">
        <w:rPr>
          <w:rFonts w:ascii="Times New Roman" w:hAnsi="Times New Roman"/>
          <w:color w:val="000000"/>
          <w:sz w:val="24"/>
          <w:szCs w:val="24"/>
        </w:rPr>
        <w:t>Club (0,55%)</w:t>
      </w:r>
    </w:p>
    <w:p w:rsidR="00226F09" w:rsidRPr="001678E5" w:rsidRDefault="00226F09" w:rsidP="001678E5">
      <w:pPr>
        <w:pStyle w:val="Textonotapie"/>
        <w:spacing w:after="0"/>
        <w:ind w:firstLine="1418"/>
        <w:jc w:val="both"/>
        <w:rPr>
          <w:rFonts w:ascii="Times New Roman" w:hAnsi="Times New Roman"/>
          <w:b/>
          <w:color w:val="000000"/>
          <w:sz w:val="24"/>
          <w:szCs w:val="24"/>
        </w:rPr>
      </w:pPr>
    </w:p>
    <w:p w:rsidR="00F32112" w:rsidRPr="001678E5" w:rsidRDefault="00F32112" w:rsidP="001678E5">
      <w:pPr>
        <w:pStyle w:val="Ttulo2"/>
        <w:rPr>
          <w:rFonts w:ascii="Times New Roman" w:hAnsi="Times New Roman"/>
          <w:sz w:val="24"/>
          <w:szCs w:val="24"/>
        </w:rPr>
      </w:pPr>
      <w:r w:rsidRPr="001678E5">
        <w:rPr>
          <w:rFonts w:ascii="Times New Roman" w:hAnsi="Times New Roman"/>
          <w:sz w:val="24"/>
          <w:szCs w:val="24"/>
        </w:rPr>
        <w:t>Lo público y lo privado</w:t>
      </w:r>
    </w:p>
    <w:p w:rsidR="00F32112" w:rsidRPr="001678E5" w:rsidRDefault="00F32112"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Por otra parte, de las cifras consignadas también se puede advertir que la ADI ha sido utilizada mayoritariamente por el sector</w:t>
      </w:r>
      <w:r w:rsidR="00494A9C" w:rsidRPr="001678E5">
        <w:rPr>
          <w:rFonts w:ascii="Times New Roman" w:hAnsi="Times New Roman"/>
          <w:color w:val="000000"/>
          <w:sz w:val="24"/>
          <w:szCs w:val="24"/>
        </w:rPr>
        <w:t xml:space="preserve"> privado.</w:t>
      </w:r>
    </w:p>
    <w:p w:rsidR="00F32112" w:rsidRPr="001678E5" w:rsidRDefault="00F32112" w:rsidP="001678E5">
      <w:pPr>
        <w:pStyle w:val="Textonotapie"/>
        <w:spacing w:after="0"/>
        <w:ind w:firstLine="709"/>
        <w:jc w:val="both"/>
        <w:rPr>
          <w:rFonts w:ascii="Times New Roman" w:hAnsi="Times New Roman"/>
          <w:b/>
          <w:color w:val="000000"/>
          <w:sz w:val="24"/>
          <w:szCs w:val="24"/>
        </w:rPr>
      </w:pPr>
    </w:p>
    <w:p w:rsidR="002D6AE5" w:rsidRPr="001678E5" w:rsidRDefault="003431E8" w:rsidP="001678E5">
      <w:pPr>
        <w:pStyle w:val="Ttulo1"/>
        <w:rPr>
          <w:rFonts w:ascii="Times New Roman" w:hAnsi="Times New Roman"/>
          <w:sz w:val="24"/>
          <w:szCs w:val="24"/>
        </w:rPr>
      </w:pPr>
      <w:r w:rsidRPr="001678E5">
        <w:rPr>
          <w:rFonts w:ascii="Times New Roman" w:hAnsi="Times New Roman"/>
          <w:sz w:val="24"/>
          <w:szCs w:val="24"/>
        </w:rPr>
        <w:t>CANTIDAD Y EVOLUCIÓN</w:t>
      </w:r>
    </w:p>
    <w:p w:rsidR="002D6AE5" w:rsidRPr="001678E5" w:rsidRDefault="008F4FB4"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E</w:t>
      </w:r>
      <w:r w:rsidR="002D6AE5" w:rsidRPr="001678E5">
        <w:rPr>
          <w:rFonts w:ascii="Times New Roman" w:hAnsi="Times New Roman" w:cs="Times New Roman"/>
          <w:szCs w:val="24"/>
        </w:rPr>
        <w:t>n el Cuadro Nº 1</w:t>
      </w:r>
      <w:r w:rsidRPr="001678E5">
        <w:rPr>
          <w:rFonts w:ascii="Times New Roman" w:hAnsi="Times New Roman" w:cs="Times New Roman"/>
          <w:szCs w:val="24"/>
        </w:rPr>
        <w:t xml:space="preserve"> que se presenta,</w:t>
      </w:r>
      <w:r w:rsidR="002D6AE5" w:rsidRPr="001678E5">
        <w:rPr>
          <w:rFonts w:ascii="Times New Roman" w:hAnsi="Times New Roman" w:cs="Times New Roman"/>
          <w:szCs w:val="24"/>
        </w:rPr>
        <w:t xml:space="preserve"> el</w:t>
      </w:r>
      <w:r w:rsidRPr="001678E5">
        <w:rPr>
          <w:rFonts w:ascii="Times New Roman" w:hAnsi="Times New Roman" w:cs="Times New Roman"/>
          <w:szCs w:val="24"/>
        </w:rPr>
        <w:t xml:space="preserve"> número total de ADI es de 182, en tanto las que obtuvieron sentencia favorable, total o parcialmente son tan solo trece.</w:t>
      </w:r>
    </w:p>
    <w:p w:rsidR="002D6AE5" w:rsidRPr="001678E5" w:rsidRDefault="00F233FF"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Por otra parte, </w:t>
      </w:r>
      <w:r w:rsidR="002D6AE5" w:rsidRPr="001678E5">
        <w:rPr>
          <w:rFonts w:ascii="Times New Roman" w:hAnsi="Times New Roman" w:cs="Times New Roman"/>
          <w:szCs w:val="24"/>
        </w:rPr>
        <w:t xml:space="preserve">si tomamos como referencia el total de sentencias </w:t>
      </w:r>
      <w:r w:rsidR="0002512E" w:rsidRPr="001678E5">
        <w:rPr>
          <w:rFonts w:ascii="Times New Roman" w:hAnsi="Times New Roman" w:cs="Times New Roman"/>
          <w:szCs w:val="24"/>
        </w:rPr>
        <w:t>pronunciadas</w:t>
      </w:r>
      <w:r w:rsidR="002D6AE5" w:rsidRPr="001678E5">
        <w:rPr>
          <w:rFonts w:ascii="Times New Roman" w:hAnsi="Times New Roman" w:cs="Times New Roman"/>
          <w:szCs w:val="24"/>
        </w:rPr>
        <w:t xml:space="preserve"> por el TSJ, </w:t>
      </w:r>
      <w:r w:rsidR="0002512E" w:rsidRPr="001678E5">
        <w:rPr>
          <w:rFonts w:ascii="Times New Roman" w:hAnsi="Times New Roman" w:cs="Times New Roman"/>
          <w:szCs w:val="24"/>
        </w:rPr>
        <w:t xml:space="preserve">más de </w:t>
      </w:r>
      <w:r w:rsidR="002D6AE5" w:rsidRPr="001678E5">
        <w:rPr>
          <w:rFonts w:ascii="Times New Roman" w:hAnsi="Times New Roman" w:cs="Times New Roman"/>
          <w:szCs w:val="24"/>
        </w:rPr>
        <w:t>9000</w:t>
      </w:r>
      <w:r w:rsidR="002D6AE5" w:rsidRPr="001678E5">
        <w:rPr>
          <w:rStyle w:val="Refdenotaalpie"/>
          <w:rFonts w:ascii="Times New Roman" w:hAnsi="Times New Roman" w:cs="Times New Roman"/>
          <w:szCs w:val="24"/>
        </w:rPr>
        <w:footnoteReference w:id="6"/>
      </w:r>
      <w:r w:rsidR="0002512E" w:rsidRPr="001678E5">
        <w:rPr>
          <w:rFonts w:ascii="Times New Roman" w:hAnsi="Times New Roman" w:cs="Times New Roman"/>
          <w:szCs w:val="24"/>
        </w:rPr>
        <w:t>, en el período 1999-2015</w:t>
      </w:r>
      <w:r w:rsidR="002D6AE5" w:rsidRPr="001678E5">
        <w:rPr>
          <w:rFonts w:ascii="Times New Roman" w:hAnsi="Times New Roman" w:cs="Times New Roman"/>
          <w:szCs w:val="24"/>
        </w:rPr>
        <w:t>, se puede inferir que las ADI representa</w:t>
      </w:r>
      <w:r w:rsidRPr="001678E5">
        <w:rPr>
          <w:rFonts w:ascii="Times New Roman" w:hAnsi="Times New Roman" w:cs="Times New Roman"/>
          <w:szCs w:val="24"/>
        </w:rPr>
        <w:t>n solo</w:t>
      </w:r>
      <w:r w:rsidR="002D6AE5" w:rsidRPr="001678E5">
        <w:rPr>
          <w:rFonts w:ascii="Times New Roman" w:hAnsi="Times New Roman" w:cs="Times New Roman"/>
          <w:szCs w:val="24"/>
        </w:rPr>
        <w:t xml:space="preserve"> </w:t>
      </w:r>
      <w:r w:rsidRPr="001678E5">
        <w:rPr>
          <w:rFonts w:ascii="Times New Roman" w:hAnsi="Times New Roman" w:cs="Times New Roman"/>
          <w:szCs w:val="24"/>
        </w:rPr>
        <w:t>el 2,02</w:t>
      </w:r>
      <w:r w:rsidR="002D6AE5" w:rsidRPr="001678E5">
        <w:rPr>
          <w:rFonts w:ascii="Times New Roman" w:hAnsi="Times New Roman" w:cs="Times New Roman"/>
          <w:szCs w:val="24"/>
        </w:rPr>
        <w:t>% del total de l</w:t>
      </w:r>
      <w:r w:rsidR="0002512E" w:rsidRPr="001678E5">
        <w:rPr>
          <w:rFonts w:ascii="Times New Roman" w:hAnsi="Times New Roman" w:cs="Times New Roman"/>
          <w:szCs w:val="24"/>
        </w:rPr>
        <w:t>os fallos</w:t>
      </w:r>
      <w:r w:rsidR="002D6AE5" w:rsidRPr="001678E5">
        <w:rPr>
          <w:rFonts w:ascii="Times New Roman" w:hAnsi="Times New Roman" w:cs="Times New Roman"/>
          <w:szCs w:val="24"/>
        </w:rPr>
        <w:t xml:space="preserve"> del TSJ. </w:t>
      </w: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lastRenderedPageBreak/>
        <w:t xml:space="preserve">Por otro lado, las sentencias que declaran la inconstitucionalidad de la norma o acto cuestionado alcanzan solamente al 7,14 % del total de las presentadas. Esto </w:t>
      </w:r>
      <w:r w:rsidR="00F233FF" w:rsidRPr="001678E5">
        <w:rPr>
          <w:rFonts w:ascii="Times New Roman" w:hAnsi="Times New Roman" w:cs="Times New Roman"/>
          <w:szCs w:val="24"/>
        </w:rPr>
        <w:t>demuestra</w:t>
      </w:r>
      <w:r w:rsidRPr="001678E5">
        <w:rPr>
          <w:rFonts w:ascii="Times New Roman" w:hAnsi="Times New Roman" w:cs="Times New Roman"/>
          <w:szCs w:val="24"/>
        </w:rPr>
        <w:t xml:space="preserve"> un coeficiente de éxito muy bajo. </w:t>
      </w:r>
    </w:p>
    <w:p w:rsidR="00B665AD" w:rsidRPr="001678E5" w:rsidRDefault="00B665AD" w:rsidP="001678E5">
      <w:pPr>
        <w:spacing w:after="0"/>
        <w:jc w:val="center"/>
        <w:rPr>
          <w:rFonts w:ascii="Times New Roman" w:hAnsi="Times New Roman" w:cs="Times New Roman"/>
          <w:b/>
          <w:szCs w:val="24"/>
        </w:rPr>
      </w:pPr>
    </w:p>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CUADRO Nº 1</w:t>
      </w:r>
    </w:p>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 xml:space="preserve">Cantidad de ADI presentadas </w:t>
      </w:r>
      <w:r w:rsidR="00AB012E" w:rsidRPr="001678E5">
        <w:rPr>
          <w:rFonts w:ascii="Times New Roman" w:hAnsi="Times New Roman" w:cs="Times New Roman"/>
          <w:b/>
          <w:szCs w:val="24"/>
        </w:rPr>
        <w:t>y con sentencia favorable</w:t>
      </w:r>
    </w:p>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1999–2015</w:t>
      </w:r>
    </w:p>
    <w:p w:rsidR="002D6AE5" w:rsidRPr="001678E5" w:rsidRDefault="002D6AE5" w:rsidP="001678E5">
      <w:pPr>
        <w:spacing w:after="0"/>
        <w:jc w:val="center"/>
        <w:rPr>
          <w:rFonts w:ascii="Times New Roman" w:hAnsi="Times New Roman" w:cs="Times New Roman"/>
          <w:b/>
          <w:szCs w:val="24"/>
        </w:rPr>
      </w:pPr>
    </w:p>
    <w:tbl>
      <w:tblPr>
        <w:tblpPr w:leftFromText="141" w:rightFromText="141" w:vertAnchor="text" w:tblpXSpec="center" w:tblpY="1"/>
        <w:tblOverlap w:val="never"/>
        <w:tblW w:w="4652" w:type="dxa"/>
        <w:tblCellMar>
          <w:left w:w="70" w:type="dxa"/>
          <w:right w:w="70" w:type="dxa"/>
        </w:tblCellMar>
        <w:tblLook w:val="0000" w:firstRow="0" w:lastRow="0" w:firstColumn="0" w:lastColumn="0" w:noHBand="0" w:noVBand="0"/>
      </w:tblPr>
      <w:tblGrid>
        <w:gridCol w:w="1200"/>
        <w:gridCol w:w="2076"/>
        <w:gridCol w:w="1376"/>
      </w:tblGrid>
      <w:tr w:rsidR="002D6AE5" w:rsidRPr="001678E5" w:rsidTr="0096656E">
        <w:trPr>
          <w:trHeight w:val="255"/>
        </w:trPr>
        <w:tc>
          <w:tcPr>
            <w:tcW w:w="1200" w:type="dxa"/>
            <w:tcBorders>
              <w:top w:val="single" w:sz="4" w:space="0" w:color="auto"/>
              <w:left w:val="single" w:sz="4" w:space="0" w:color="auto"/>
              <w:bottom w:val="single" w:sz="4" w:space="0" w:color="auto"/>
              <w:right w:val="single" w:sz="4" w:space="0" w:color="auto"/>
            </w:tcBorders>
            <w:noWrap/>
            <w:vAlign w:val="center"/>
          </w:tcPr>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Año</w:t>
            </w:r>
          </w:p>
        </w:tc>
        <w:tc>
          <w:tcPr>
            <w:tcW w:w="2076" w:type="dxa"/>
            <w:tcBorders>
              <w:top w:val="single" w:sz="4" w:space="0" w:color="auto"/>
              <w:left w:val="single" w:sz="4" w:space="0" w:color="auto"/>
              <w:bottom w:val="single" w:sz="4" w:space="0" w:color="auto"/>
              <w:right w:val="single" w:sz="4" w:space="0" w:color="auto"/>
            </w:tcBorders>
            <w:noWrap/>
            <w:vAlign w:val="center"/>
          </w:tcPr>
          <w:p w:rsidR="002D6AE5" w:rsidRPr="001678E5" w:rsidRDefault="002D6AE5" w:rsidP="001678E5">
            <w:pPr>
              <w:spacing w:after="0"/>
              <w:jc w:val="center"/>
              <w:rPr>
                <w:rFonts w:ascii="Times New Roman" w:hAnsi="Times New Roman" w:cs="Times New Roman"/>
                <w:b/>
                <w:bCs/>
                <w:szCs w:val="24"/>
              </w:rPr>
            </w:pPr>
            <w:r w:rsidRPr="001678E5">
              <w:rPr>
                <w:rFonts w:ascii="Times New Roman" w:hAnsi="Times New Roman" w:cs="Times New Roman"/>
                <w:b/>
                <w:bCs/>
                <w:szCs w:val="24"/>
              </w:rPr>
              <w:t>Presentadas</w:t>
            </w:r>
          </w:p>
        </w:tc>
        <w:tc>
          <w:tcPr>
            <w:tcW w:w="1376"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b/>
                <w:bCs/>
                <w:szCs w:val="24"/>
              </w:rPr>
            </w:pPr>
            <w:r w:rsidRPr="001678E5">
              <w:rPr>
                <w:rFonts w:ascii="Times New Roman" w:hAnsi="Times New Roman" w:cs="Times New Roman"/>
                <w:b/>
                <w:bCs/>
                <w:szCs w:val="24"/>
              </w:rPr>
              <w:t>Sentencia  favorable</w:t>
            </w:r>
          </w:p>
        </w:tc>
      </w:tr>
      <w:tr w:rsidR="002D6AE5" w:rsidRPr="001678E5" w:rsidTr="0096656E">
        <w:trPr>
          <w:trHeight w:val="255"/>
        </w:trPr>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1999</w:t>
            </w:r>
          </w:p>
        </w:tc>
        <w:tc>
          <w:tcPr>
            <w:tcW w:w="2076"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55</w:t>
            </w:r>
          </w:p>
        </w:tc>
        <w:tc>
          <w:tcPr>
            <w:tcW w:w="1376"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2000</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9</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0</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2001</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9</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2002</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6</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2003</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7</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2004</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12</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2005</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5</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0</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2006</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6</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0</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2007</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15</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3</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2008</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9</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0</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2009</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9</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0</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2010</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11</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2011</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11</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0</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2012</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12</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2013</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3</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0</w:t>
            </w:r>
          </w:p>
        </w:tc>
      </w:tr>
      <w:tr w:rsidR="002D6AE5" w:rsidRPr="001678E5" w:rsidTr="00B665AD">
        <w:trPr>
          <w:trHeight w:val="255"/>
        </w:trPr>
        <w:tc>
          <w:tcPr>
            <w:tcW w:w="120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2014*</w:t>
            </w:r>
          </w:p>
        </w:tc>
        <w:tc>
          <w:tcPr>
            <w:tcW w:w="20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3</w:t>
            </w:r>
          </w:p>
        </w:tc>
        <w:tc>
          <w:tcPr>
            <w:tcW w:w="1376"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B665AD">
        <w:trPr>
          <w:trHeight w:val="255"/>
        </w:trPr>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b/>
                <w:bCs/>
                <w:kern w:val="32"/>
                <w:szCs w:val="24"/>
              </w:rPr>
            </w:pPr>
          </w:p>
        </w:tc>
        <w:tc>
          <w:tcPr>
            <w:tcW w:w="2076"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b/>
                <w:bCs/>
                <w:szCs w:val="24"/>
              </w:rPr>
            </w:pPr>
            <w:r w:rsidRPr="001678E5">
              <w:rPr>
                <w:rFonts w:ascii="Times New Roman" w:hAnsi="Times New Roman" w:cs="Times New Roman"/>
                <w:b/>
                <w:bCs/>
                <w:szCs w:val="24"/>
              </w:rPr>
              <w:t>182</w:t>
            </w:r>
          </w:p>
        </w:tc>
        <w:tc>
          <w:tcPr>
            <w:tcW w:w="1376"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b/>
                <w:bCs/>
                <w:szCs w:val="24"/>
              </w:rPr>
            </w:pPr>
            <w:r w:rsidRPr="001678E5">
              <w:rPr>
                <w:rFonts w:ascii="Times New Roman" w:hAnsi="Times New Roman" w:cs="Times New Roman"/>
                <w:b/>
                <w:bCs/>
                <w:szCs w:val="24"/>
              </w:rPr>
              <w:t>13</w:t>
            </w:r>
          </w:p>
        </w:tc>
      </w:tr>
    </w:tbl>
    <w:p w:rsidR="00B665AD"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br w:type="textWrapping" w:clear="all"/>
      </w:r>
    </w:p>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*El último fallo relevado data del 31 diciembre de 2014</w:t>
      </w:r>
    </w:p>
    <w:p w:rsidR="002D6AE5" w:rsidRPr="001678E5" w:rsidRDefault="002D6AE5" w:rsidP="001678E5">
      <w:pPr>
        <w:spacing w:after="0"/>
        <w:jc w:val="both"/>
        <w:rPr>
          <w:rFonts w:ascii="Times New Roman" w:hAnsi="Times New Roman" w:cs="Times New Roman"/>
          <w:szCs w:val="24"/>
        </w:rPr>
      </w:pP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En el </w:t>
      </w:r>
      <w:r w:rsidR="003431E8" w:rsidRPr="001678E5">
        <w:rPr>
          <w:rFonts w:ascii="Times New Roman" w:hAnsi="Times New Roman" w:cs="Times New Roman"/>
          <w:szCs w:val="24"/>
        </w:rPr>
        <w:t xml:space="preserve">Cuadro </w:t>
      </w:r>
      <w:r w:rsidRPr="001678E5">
        <w:rPr>
          <w:rFonts w:ascii="Times New Roman" w:hAnsi="Times New Roman" w:cs="Times New Roman"/>
          <w:szCs w:val="24"/>
        </w:rPr>
        <w:t xml:space="preserve">Nº 1 se advierte el ritmo descendente de las ADI, en particular después del primer año (1999), en el que se alcanzó casi un tercio del total. </w:t>
      </w:r>
    </w:p>
    <w:p w:rsidR="002D6AE5" w:rsidRPr="001678E5" w:rsidRDefault="00AB012E"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Desde 2008</w:t>
      </w:r>
      <w:r w:rsidR="002D6AE5" w:rsidRPr="001678E5">
        <w:rPr>
          <w:rFonts w:ascii="Times New Roman" w:hAnsi="Times New Roman" w:cs="Times New Roman"/>
          <w:szCs w:val="24"/>
        </w:rPr>
        <w:t xml:space="preserve"> se visualiza un ritmo descendente  más atenuado. </w:t>
      </w: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En el </w:t>
      </w:r>
      <w:r w:rsidR="00AB012E" w:rsidRPr="001678E5">
        <w:rPr>
          <w:rFonts w:ascii="Times New Roman" w:hAnsi="Times New Roman" w:cs="Times New Roman"/>
          <w:szCs w:val="24"/>
        </w:rPr>
        <w:t xml:space="preserve">período </w:t>
      </w:r>
      <w:r w:rsidRPr="001678E5">
        <w:rPr>
          <w:rFonts w:ascii="Times New Roman" w:hAnsi="Times New Roman" w:cs="Times New Roman"/>
          <w:szCs w:val="24"/>
        </w:rPr>
        <w:t>(1999–2007) se presentaron 124 ADI, esto es, más de los dos tercios de estas acciones, y sólo un tercio en los últimos seis años.</w:t>
      </w:r>
    </w:p>
    <w:p w:rsidR="0002512E" w:rsidRPr="001678E5" w:rsidRDefault="0002512E" w:rsidP="001678E5">
      <w:pPr>
        <w:spacing w:after="0"/>
        <w:ind w:firstLine="1418"/>
        <w:jc w:val="both"/>
        <w:rPr>
          <w:rFonts w:ascii="Times New Roman" w:hAnsi="Times New Roman" w:cs="Times New Roman"/>
          <w:szCs w:val="24"/>
        </w:rPr>
      </w:pPr>
    </w:p>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Gráfico Nº 1</w:t>
      </w:r>
    </w:p>
    <w:p w:rsidR="002D6AE5" w:rsidRPr="001678E5" w:rsidRDefault="0014332C" w:rsidP="001678E5">
      <w:pPr>
        <w:spacing w:after="0"/>
        <w:jc w:val="center"/>
        <w:rPr>
          <w:rFonts w:ascii="Times New Roman" w:hAnsi="Times New Roman" w:cs="Times New Roman"/>
          <w:szCs w:val="24"/>
        </w:rPr>
      </w:pPr>
      <w:r w:rsidRPr="001678E5">
        <w:rPr>
          <w:rFonts w:ascii="Times New Roman" w:hAnsi="Times New Roman" w:cs="Times New Roman"/>
          <w:noProof/>
          <w:szCs w:val="24"/>
        </w:rPr>
        <w:drawing>
          <wp:inline distT="0" distB="0" distL="0" distR="0" wp14:anchorId="0DB45128" wp14:editId="599A12CB">
            <wp:extent cx="4676775" cy="2447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2447925"/>
                    </a:xfrm>
                    <a:prstGeom prst="rect">
                      <a:avLst/>
                    </a:prstGeom>
                    <a:noFill/>
                    <a:ln>
                      <a:noFill/>
                    </a:ln>
                  </pic:spPr>
                </pic:pic>
              </a:graphicData>
            </a:graphic>
          </wp:inline>
        </w:drawing>
      </w:r>
    </w:p>
    <w:p w:rsidR="002D6AE5" w:rsidRPr="001678E5" w:rsidRDefault="002D6AE5" w:rsidP="001678E5">
      <w:pPr>
        <w:spacing w:after="0"/>
        <w:jc w:val="both"/>
        <w:rPr>
          <w:rFonts w:ascii="Times New Roman" w:hAnsi="Times New Roman" w:cs="Times New Roman"/>
          <w:szCs w:val="24"/>
        </w:rPr>
      </w:pP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En el Gráfico Nº 2 se puede observar con mayor nitidez el ritmo descendente de las acciones que tuvieron acogida favorable: de las 13 exitosas, 10 corresponden al período 1999 – 2007, y sólo tres al posterior, coincidiendo con la modificación de la composición del TSJ. </w:t>
      </w:r>
    </w:p>
    <w:p w:rsidR="002D6AE5" w:rsidRPr="001678E5" w:rsidRDefault="002D6AE5" w:rsidP="001678E5">
      <w:pPr>
        <w:spacing w:after="0"/>
        <w:jc w:val="center"/>
        <w:rPr>
          <w:rFonts w:ascii="Times New Roman" w:hAnsi="Times New Roman" w:cs="Times New Roman"/>
          <w:b/>
          <w:szCs w:val="24"/>
        </w:rPr>
      </w:pPr>
    </w:p>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b/>
          <w:szCs w:val="24"/>
        </w:rPr>
        <w:lastRenderedPageBreak/>
        <w:t>Gráfico Nº 2</w:t>
      </w:r>
    </w:p>
    <w:p w:rsidR="002D6AE5" w:rsidRPr="001678E5" w:rsidRDefault="0014332C" w:rsidP="001678E5">
      <w:pPr>
        <w:spacing w:after="0"/>
        <w:ind w:left="1134"/>
        <w:jc w:val="both"/>
        <w:rPr>
          <w:rFonts w:ascii="Times New Roman" w:hAnsi="Times New Roman" w:cs="Times New Roman"/>
          <w:szCs w:val="24"/>
        </w:rPr>
      </w:pPr>
      <w:r w:rsidRPr="001678E5">
        <w:rPr>
          <w:rFonts w:ascii="Times New Roman" w:hAnsi="Times New Roman" w:cs="Times New Roman"/>
          <w:noProof/>
          <w:szCs w:val="24"/>
        </w:rPr>
        <w:drawing>
          <wp:inline distT="0" distB="0" distL="0" distR="0" wp14:anchorId="06CFD67B" wp14:editId="6E63F343">
            <wp:extent cx="4676775" cy="293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2933700"/>
                    </a:xfrm>
                    <a:prstGeom prst="rect">
                      <a:avLst/>
                    </a:prstGeom>
                    <a:noFill/>
                    <a:ln>
                      <a:noFill/>
                    </a:ln>
                  </pic:spPr>
                </pic:pic>
              </a:graphicData>
            </a:graphic>
          </wp:inline>
        </w:drawing>
      </w:r>
    </w:p>
    <w:p w:rsidR="002D6AE5" w:rsidRPr="001678E5" w:rsidRDefault="002D6AE5" w:rsidP="001678E5">
      <w:pPr>
        <w:spacing w:after="0"/>
        <w:jc w:val="both"/>
        <w:rPr>
          <w:rFonts w:ascii="Times New Roman" w:hAnsi="Times New Roman" w:cs="Times New Roman"/>
          <w:szCs w:val="24"/>
        </w:rPr>
      </w:pPr>
    </w:p>
    <w:p w:rsidR="002D6AE5" w:rsidRPr="001678E5" w:rsidRDefault="002D6AE5" w:rsidP="001678E5">
      <w:pPr>
        <w:spacing w:after="0"/>
        <w:jc w:val="both"/>
        <w:rPr>
          <w:rFonts w:ascii="Times New Roman" w:hAnsi="Times New Roman" w:cs="Times New Roman"/>
          <w:szCs w:val="24"/>
        </w:rPr>
      </w:pPr>
    </w:p>
    <w:p w:rsidR="002D6AE5" w:rsidRPr="001678E5" w:rsidRDefault="002D6AE5" w:rsidP="001678E5">
      <w:pPr>
        <w:pStyle w:val="Ttulo2"/>
        <w:rPr>
          <w:rFonts w:ascii="Times New Roman" w:hAnsi="Times New Roman"/>
          <w:sz w:val="24"/>
          <w:szCs w:val="24"/>
        </w:rPr>
      </w:pPr>
      <w:bookmarkStart w:id="0" w:name="pag5"/>
      <w:bookmarkEnd w:id="0"/>
      <w:r w:rsidRPr="001678E5">
        <w:rPr>
          <w:rFonts w:ascii="Times New Roman" w:hAnsi="Times New Roman"/>
          <w:sz w:val="24"/>
          <w:szCs w:val="24"/>
        </w:rPr>
        <w:t>Detalle del resultado de l</w:t>
      </w:r>
      <w:r w:rsidR="0002512E" w:rsidRPr="001678E5">
        <w:rPr>
          <w:rFonts w:ascii="Times New Roman" w:hAnsi="Times New Roman"/>
          <w:sz w:val="24"/>
          <w:szCs w:val="24"/>
          <w:lang w:val="es-AR"/>
        </w:rPr>
        <w:t>as acciones presentadas</w:t>
      </w: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En el Gráfico Nº 3, cuya escala es el número de acciones presentadas, se  muestra que </w:t>
      </w:r>
      <w:r w:rsidR="008922E3" w:rsidRPr="001678E5">
        <w:rPr>
          <w:rFonts w:ascii="Times New Roman" w:hAnsi="Times New Roman" w:cs="Times New Roman"/>
          <w:szCs w:val="24"/>
        </w:rPr>
        <w:t xml:space="preserve">el 92,85 </w:t>
      </w:r>
      <w:r w:rsidRPr="001678E5">
        <w:rPr>
          <w:rFonts w:ascii="Times New Roman" w:hAnsi="Times New Roman" w:cs="Times New Roman"/>
          <w:szCs w:val="24"/>
        </w:rPr>
        <w:t xml:space="preserve">de las acciones fueron </w:t>
      </w:r>
      <w:proofErr w:type="gramStart"/>
      <w:r w:rsidRPr="001678E5">
        <w:rPr>
          <w:rFonts w:ascii="Times New Roman" w:hAnsi="Times New Roman" w:cs="Times New Roman"/>
          <w:szCs w:val="24"/>
        </w:rPr>
        <w:t>declaradas</w:t>
      </w:r>
      <w:proofErr w:type="gramEnd"/>
      <w:r w:rsidRPr="001678E5">
        <w:rPr>
          <w:rFonts w:ascii="Times New Roman" w:hAnsi="Times New Roman" w:cs="Times New Roman"/>
          <w:szCs w:val="24"/>
        </w:rPr>
        <w:t xml:space="preserve"> inadmisibles o se estableció la incompetencia del TSJ (93 entre ambos resultados), lo que implica que casi no tuvieron trámite. </w:t>
      </w: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Entre las que declararon la inconstitucionalidad es levemente superior el número de  las acogidas en forma parcial, por sobre las exitosas totalmente.  </w:t>
      </w:r>
    </w:p>
    <w:p w:rsidR="002D6AE5" w:rsidRPr="001678E5" w:rsidRDefault="002D6AE5" w:rsidP="001678E5">
      <w:pPr>
        <w:spacing w:after="0"/>
        <w:jc w:val="both"/>
        <w:rPr>
          <w:rFonts w:ascii="Times New Roman" w:hAnsi="Times New Roman" w:cs="Times New Roman"/>
          <w:b/>
          <w:szCs w:val="24"/>
        </w:rPr>
      </w:pPr>
    </w:p>
    <w:p w:rsidR="002D6AE5" w:rsidRPr="001678E5" w:rsidRDefault="002D6AE5" w:rsidP="001678E5">
      <w:pPr>
        <w:spacing w:after="0"/>
        <w:ind w:left="720"/>
        <w:jc w:val="center"/>
        <w:rPr>
          <w:rFonts w:ascii="Times New Roman" w:hAnsi="Times New Roman" w:cs="Times New Roman"/>
          <w:szCs w:val="24"/>
        </w:rPr>
      </w:pPr>
      <w:r w:rsidRPr="001678E5">
        <w:rPr>
          <w:rFonts w:ascii="Times New Roman" w:hAnsi="Times New Roman" w:cs="Times New Roman"/>
          <w:b/>
          <w:szCs w:val="24"/>
        </w:rPr>
        <w:t xml:space="preserve">Gráfico Nº 3 </w:t>
      </w:r>
    </w:p>
    <w:p w:rsidR="002D6AE5" w:rsidRPr="001678E5" w:rsidRDefault="0014332C" w:rsidP="001678E5">
      <w:pPr>
        <w:spacing w:after="0"/>
        <w:jc w:val="center"/>
        <w:rPr>
          <w:rFonts w:ascii="Times New Roman" w:hAnsi="Times New Roman" w:cs="Times New Roman"/>
          <w:b/>
          <w:szCs w:val="24"/>
        </w:rPr>
      </w:pPr>
      <w:r w:rsidRPr="001678E5">
        <w:rPr>
          <w:rFonts w:ascii="Times New Roman" w:hAnsi="Times New Roman" w:cs="Times New Roman"/>
          <w:noProof/>
          <w:szCs w:val="24"/>
        </w:rPr>
        <w:lastRenderedPageBreak/>
        <w:drawing>
          <wp:inline distT="0" distB="0" distL="0" distR="0" wp14:anchorId="0B785598" wp14:editId="22784C43">
            <wp:extent cx="4581525" cy="275272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2D6AE5" w:rsidRPr="001678E5" w:rsidRDefault="002D6AE5" w:rsidP="001678E5">
      <w:pPr>
        <w:spacing w:after="0"/>
        <w:jc w:val="center"/>
        <w:rPr>
          <w:rFonts w:ascii="Times New Roman" w:hAnsi="Times New Roman" w:cs="Times New Roman"/>
          <w:b/>
          <w:szCs w:val="24"/>
        </w:rPr>
      </w:pPr>
    </w:p>
    <w:p w:rsidR="002D6AE5" w:rsidRPr="001678E5" w:rsidRDefault="0002512E" w:rsidP="001678E5">
      <w:pPr>
        <w:spacing w:after="0"/>
        <w:jc w:val="center"/>
        <w:rPr>
          <w:rFonts w:ascii="Times New Roman" w:hAnsi="Times New Roman" w:cs="Times New Roman"/>
          <w:b/>
          <w:szCs w:val="24"/>
        </w:rPr>
      </w:pPr>
      <w:r w:rsidRPr="001678E5">
        <w:rPr>
          <w:rFonts w:ascii="Times New Roman" w:hAnsi="Times New Roman" w:cs="Times New Roman"/>
          <w:b/>
          <w:szCs w:val="24"/>
        </w:rPr>
        <w:t xml:space="preserve">CUADRO </w:t>
      </w:r>
      <w:r w:rsidR="002D6AE5" w:rsidRPr="001678E5">
        <w:rPr>
          <w:rFonts w:ascii="Times New Roman" w:hAnsi="Times New Roman" w:cs="Times New Roman"/>
          <w:b/>
          <w:szCs w:val="24"/>
        </w:rPr>
        <w:t>Nº 2</w:t>
      </w:r>
    </w:p>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Detalle de las ADI presentadas</w:t>
      </w:r>
    </w:p>
    <w:tbl>
      <w:tblPr>
        <w:tblW w:w="4780" w:type="dxa"/>
        <w:jc w:val="center"/>
        <w:tblCellMar>
          <w:left w:w="70" w:type="dxa"/>
          <w:right w:w="70" w:type="dxa"/>
        </w:tblCellMar>
        <w:tblLook w:val="00A0" w:firstRow="1" w:lastRow="0" w:firstColumn="1" w:lastColumn="0" w:noHBand="0" w:noVBand="0"/>
      </w:tblPr>
      <w:tblGrid>
        <w:gridCol w:w="3580"/>
        <w:gridCol w:w="1200"/>
      </w:tblGrid>
      <w:tr w:rsidR="002D6AE5" w:rsidRPr="001678E5" w:rsidTr="00AB012E">
        <w:trPr>
          <w:trHeight w:val="255"/>
          <w:jc w:val="center"/>
        </w:trPr>
        <w:tc>
          <w:tcPr>
            <w:tcW w:w="358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b/>
                <w:szCs w:val="24"/>
              </w:rPr>
            </w:pPr>
            <w:r w:rsidRPr="001678E5">
              <w:rPr>
                <w:rFonts w:ascii="Times New Roman" w:hAnsi="Times New Roman" w:cs="Times New Roman"/>
                <w:b/>
                <w:szCs w:val="24"/>
              </w:rPr>
              <w:t>Resultado</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Número</w:t>
            </w:r>
          </w:p>
        </w:tc>
      </w:tr>
      <w:tr w:rsidR="002D6AE5" w:rsidRPr="001678E5" w:rsidTr="0096656E">
        <w:trPr>
          <w:trHeight w:val="255"/>
          <w:jc w:val="center"/>
        </w:trPr>
        <w:tc>
          <w:tcPr>
            <w:tcW w:w="358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Inadmisible</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95</w:t>
            </w:r>
          </w:p>
        </w:tc>
      </w:tr>
      <w:tr w:rsidR="002D6AE5" w:rsidRPr="001678E5" w:rsidTr="0096656E">
        <w:trPr>
          <w:trHeight w:val="255"/>
          <w:jc w:val="center"/>
        </w:trPr>
        <w:tc>
          <w:tcPr>
            <w:tcW w:w="358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Rechazo</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43</w:t>
            </w:r>
          </w:p>
        </w:tc>
      </w:tr>
      <w:tr w:rsidR="002D6AE5" w:rsidRPr="001678E5" w:rsidTr="0096656E">
        <w:trPr>
          <w:trHeight w:val="255"/>
          <w:jc w:val="center"/>
        </w:trPr>
        <w:tc>
          <w:tcPr>
            <w:tcW w:w="358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 xml:space="preserve">Incompetencia </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21</w:t>
            </w:r>
          </w:p>
        </w:tc>
      </w:tr>
      <w:tr w:rsidR="002D6AE5" w:rsidRPr="001678E5" w:rsidTr="0096656E">
        <w:trPr>
          <w:trHeight w:val="255"/>
          <w:jc w:val="center"/>
        </w:trPr>
        <w:tc>
          <w:tcPr>
            <w:tcW w:w="358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Se hace lugar parcial</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7</w:t>
            </w:r>
          </w:p>
        </w:tc>
      </w:tr>
      <w:tr w:rsidR="002D6AE5" w:rsidRPr="001678E5" w:rsidTr="0096656E">
        <w:trPr>
          <w:trHeight w:val="255"/>
          <w:jc w:val="center"/>
        </w:trPr>
        <w:tc>
          <w:tcPr>
            <w:tcW w:w="358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 xml:space="preserve">Abstracto </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6</w:t>
            </w:r>
          </w:p>
        </w:tc>
      </w:tr>
      <w:tr w:rsidR="002D6AE5" w:rsidRPr="001678E5" w:rsidTr="0096656E">
        <w:trPr>
          <w:trHeight w:val="255"/>
          <w:jc w:val="center"/>
        </w:trPr>
        <w:tc>
          <w:tcPr>
            <w:tcW w:w="3580"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Se hace lugar parcial</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6</w:t>
            </w:r>
          </w:p>
        </w:tc>
      </w:tr>
      <w:tr w:rsidR="002D6AE5" w:rsidRPr="001678E5" w:rsidTr="008922E3">
        <w:trPr>
          <w:trHeight w:val="255"/>
          <w:jc w:val="center"/>
        </w:trPr>
        <w:tc>
          <w:tcPr>
            <w:tcW w:w="358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Caducidad</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2</w:t>
            </w:r>
          </w:p>
        </w:tc>
      </w:tr>
      <w:tr w:rsidR="002D6AE5" w:rsidRPr="001678E5" w:rsidTr="0002512E">
        <w:trPr>
          <w:trHeight w:val="255"/>
          <w:jc w:val="center"/>
        </w:trPr>
        <w:tc>
          <w:tcPr>
            <w:tcW w:w="358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Desistimiento</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2</w:t>
            </w:r>
          </w:p>
        </w:tc>
      </w:tr>
      <w:tr w:rsidR="002D6AE5" w:rsidRPr="001678E5" w:rsidTr="0002512E">
        <w:trPr>
          <w:trHeight w:val="255"/>
          <w:jc w:val="center"/>
        </w:trPr>
        <w:tc>
          <w:tcPr>
            <w:tcW w:w="3580" w:type="dxa"/>
            <w:tcBorders>
              <w:top w:val="single" w:sz="4" w:space="0" w:color="auto"/>
              <w:left w:val="single" w:sz="4" w:space="0" w:color="auto"/>
              <w:bottom w:val="single" w:sz="4" w:space="0" w:color="auto"/>
              <w:right w:val="nil"/>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Total</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b/>
                <w:szCs w:val="24"/>
              </w:rPr>
            </w:pPr>
            <w:r w:rsidRPr="001678E5">
              <w:rPr>
                <w:rFonts w:ascii="Times New Roman" w:hAnsi="Times New Roman" w:cs="Times New Roman"/>
                <w:b/>
                <w:szCs w:val="24"/>
              </w:rPr>
              <w:t>182</w:t>
            </w:r>
          </w:p>
        </w:tc>
      </w:tr>
    </w:tbl>
    <w:p w:rsidR="002D6AE5" w:rsidRPr="001678E5" w:rsidRDefault="002D6AE5" w:rsidP="001678E5">
      <w:pPr>
        <w:spacing w:after="0"/>
        <w:jc w:val="center"/>
        <w:rPr>
          <w:rFonts w:ascii="Times New Roman" w:hAnsi="Times New Roman" w:cs="Times New Roman"/>
          <w:szCs w:val="24"/>
        </w:rPr>
      </w:pPr>
    </w:p>
    <w:p w:rsidR="002D6AE5" w:rsidRPr="001678E5" w:rsidRDefault="002D6AE5" w:rsidP="001678E5">
      <w:pPr>
        <w:pStyle w:val="Ttulo2"/>
        <w:rPr>
          <w:rFonts w:ascii="Times New Roman" w:hAnsi="Times New Roman"/>
          <w:sz w:val="24"/>
          <w:szCs w:val="24"/>
        </w:rPr>
      </w:pPr>
      <w:bookmarkStart w:id="1" w:name="pag6"/>
      <w:bookmarkEnd w:id="1"/>
      <w:r w:rsidRPr="001678E5">
        <w:rPr>
          <w:rFonts w:ascii="Times New Roman" w:hAnsi="Times New Roman"/>
          <w:sz w:val="24"/>
          <w:szCs w:val="24"/>
        </w:rPr>
        <w:lastRenderedPageBreak/>
        <w:t>ADI presentadas por tema.</w:t>
      </w: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 xml:space="preserve">En el Gráfico Nº 4 se muestran las </w:t>
      </w:r>
      <w:proofErr w:type="spellStart"/>
      <w:r w:rsidRPr="001678E5">
        <w:rPr>
          <w:rFonts w:ascii="Times New Roman" w:hAnsi="Times New Roman" w:cs="Times New Roman"/>
          <w:szCs w:val="24"/>
        </w:rPr>
        <w:t>ADIs</w:t>
      </w:r>
      <w:proofErr w:type="spellEnd"/>
      <w:r w:rsidRPr="001678E5">
        <w:rPr>
          <w:rFonts w:ascii="Times New Roman" w:hAnsi="Times New Roman" w:cs="Times New Roman"/>
          <w:szCs w:val="24"/>
        </w:rPr>
        <w:t xml:space="preserve"> según el tema abordado, cuya escala es el número de las presentadas.  Se advierte que las cuestiones tributarias y las de licencias y permisos abarcan cerca del 50% del total de acciones.</w:t>
      </w:r>
    </w:p>
    <w:p w:rsidR="002D6AE5" w:rsidRPr="001678E5" w:rsidRDefault="002D6AE5" w:rsidP="001678E5">
      <w:pPr>
        <w:spacing w:after="0"/>
        <w:jc w:val="center"/>
        <w:rPr>
          <w:rFonts w:ascii="Times New Roman" w:hAnsi="Times New Roman" w:cs="Times New Roman"/>
          <w:b/>
          <w:szCs w:val="24"/>
        </w:rPr>
      </w:pPr>
    </w:p>
    <w:p w:rsidR="002D6AE5" w:rsidRPr="001678E5" w:rsidRDefault="0002512E" w:rsidP="001678E5">
      <w:pPr>
        <w:spacing w:after="0"/>
        <w:jc w:val="center"/>
        <w:rPr>
          <w:rFonts w:ascii="Times New Roman" w:hAnsi="Times New Roman" w:cs="Times New Roman"/>
          <w:b/>
          <w:szCs w:val="24"/>
        </w:rPr>
      </w:pPr>
      <w:r w:rsidRPr="001678E5">
        <w:rPr>
          <w:rFonts w:ascii="Times New Roman" w:hAnsi="Times New Roman" w:cs="Times New Roman"/>
          <w:b/>
          <w:szCs w:val="24"/>
        </w:rPr>
        <w:t xml:space="preserve">GRÁFICO </w:t>
      </w:r>
      <w:r w:rsidR="002D6AE5" w:rsidRPr="001678E5">
        <w:rPr>
          <w:rFonts w:ascii="Times New Roman" w:hAnsi="Times New Roman" w:cs="Times New Roman"/>
          <w:b/>
          <w:szCs w:val="24"/>
        </w:rPr>
        <w:t xml:space="preserve">Nº 4 </w:t>
      </w:r>
    </w:p>
    <w:p w:rsidR="002D6AE5" w:rsidRPr="001678E5" w:rsidRDefault="0014332C" w:rsidP="001678E5">
      <w:pPr>
        <w:spacing w:after="0"/>
        <w:jc w:val="center"/>
        <w:rPr>
          <w:rFonts w:ascii="Times New Roman" w:hAnsi="Times New Roman" w:cs="Times New Roman"/>
          <w:noProof/>
          <w:szCs w:val="24"/>
        </w:rPr>
      </w:pPr>
      <w:r w:rsidRPr="001678E5">
        <w:rPr>
          <w:rFonts w:ascii="Times New Roman" w:hAnsi="Times New Roman" w:cs="Times New Roman"/>
          <w:noProof/>
          <w:szCs w:val="24"/>
        </w:rPr>
        <w:drawing>
          <wp:inline distT="0" distB="0" distL="0" distR="0" wp14:anchorId="7C1267F9" wp14:editId="692BC027">
            <wp:extent cx="5372100" cy="3076575"/>
            <wp:effectExtent l="0" t="0" r="0"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076575"/>
                    </a:xfrm>
                    <a:prstGeom prst="rect">
                      <a:avLst/>
                    </a:prstGeom>
                    <a:noFill/>
                    <a:ln>
                      <a:noFill/>
                    </a:ln>
                  </pic:spPr>
                </pic:pic>
              </a:graphicData>
            </a:graphic>
          </wp:inline>
        </w:drawing>
      </w:r>
    </w:p>
    <w:p w:rsidR="00C37E91" w:rsidRPr="001678E5" w:rsidRDefault="00C37E91" w:rsidP="001678E5">
      <w:pPr>
        <w:spacing w:after="0"/>
        <w:jc w:val="center"/>
        <w:rPr>
          <w:rFonts w:ascii="Times New Roman" w:hAnsi="Times New Roman" w:cs="Times New Roman"/>
          <w:b/>
          <w:szCs w:val="24"/>
          <w:lang w:val="pt-BR"/>
        </w:rPr>
      </w:pPr>
    </w:p>
    <w:p w:rsidR="002D6AE5" w:rsidRPr="001678E5" w:rsidRDefault="0002512E" w:rsidP="001678E5">
      <w:pPr>
        <w:spacing w:after="0"/>
        <w:jc w:val="center"/>
        <w:rPr>
          <w:rFonts w:ascii="Times New Roman" w:hAnsi="Times New Roman" w:cs="Times New Roman"/>
          <w:b/>
          <w:szCs w:val="24"/>
          <w:lang w:val="pt-BR"/>
        </w:rPr>
      </w:pPr>
      <w:r w:rsidRPr="001678E5">
        <w:rPr>
          <w:rFonts w:ascii="Times New Roman" w:hAnsi="Times New Roman" w:cs="Times New Roman"/>
          <w:b/>
          <w:szCs w:val="24"/>
          <w:lang w:val="pt-BR"/>
        </w:rPr>
        <w:t xml:space="preserve">CUADRO </w:t>
      </w:r>
      <w:r w:rsidR="002D6AE5" w:rsidRPr="001678E5">
        <w:rPr>
          <w:rFonts w:ascii="Times New Roman" w:hAnsi="Times New Roman" w:cs="Times New Roman"/>
          <w:b/>
          <w:szCs w:val="24"/>
          <w:lang w:val="pt-BR"/>
        </w:rPr>
        <w:t>Nº 3</w:t>
      </w:r>
    </w:p>
    <w:p w:rsidR="002D6AE5" w:rsidRPr="001678E5" w:rsidRDefault="002D6AE5" w:rsidP="001678E5">
      <w:pPr>
        <w:spacing w:after="0"/>
        <w:jc w:val="center"/>
        <w:rPr>
          <w:rFonts w:ascii="Times New Roman" w:hAnsi="Times New Roman" w:cs="Times New Roman"/>
          <w:b/>
          <w:szCs w:val="24"/>
          <w:lang w:val="pt-BR"/>
        </w:rPr>
      </w:pPr>
      <w:r w:rsidRPr="001678E5">
        <w:rPr>
          <w:rFonts w:ascii="Times New Roman" w:hAnsi="Times New Roman" w:cs="Times New Roman"/>
          <w:b/>
          <w:szCs w:val="24"/>
          <w:lang w:val="pt-BR"/>
        </w:rPr>
        <w:t>ADI presentadas por tema</w:t>
      </w:r>
    </w:p>
    <w:tbl>
      <w:tblPr>
        <w:tblW w:w="5243" w:type="dxa"/>
        <w:jc w:val="center"/>
        <w:tblCellMar>
          <w:left w:w="70" w:type="dxa"/>
          <w:right w:w="70" w:type="dxa"/>
        </w:tblCellMar>
        <w:tblLook w:val="00A0" w:firstRow="1" w:lastRow="0" w:firstColumn="1" w:lastColumn="0" w:noHBand="0" w:noVBand="0"/>
      </w:tblPr>
      <w:tblGrid>
        <w:gridCol w:w="4043"/>
        <w:gridCol w:w="1200"/>
      </w:tblGrid>
      <w:tr w:rsidR="002D6AE5" w:rsidRPr="001678E5" w:rsidTr="0002512E">
        <w:trPr>
          <w:trHeight w:val="255"/>
          <w:jc w:val="center"/>
        </w:trPr>
        <w:tc>
          <w:tcPr>
            <w:tcW w:w="4043"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b/>
                <w:bCs/>
                <w:szCs w:val="24"/>
              </w:rPr>
            </w:pPr>
            <w:r w:rsidRPr="001678E5">
              <w:rPr>
                <w:rFonts w:ascii="Times New Roman" w:hAnsi="Times New Roman" w:cs="Times New Roman"/>
                <w:b/>
                <w:bCs/>
                <w:szCs w:val="24"/>
              </w:rPr>
              <w:t>Tema</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Número</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Tributario</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42</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Licencias y Permisos</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35</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Empleo Público</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15</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Procedimiento Legislativo</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15</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lastRenderedPageBreak/>
              <w:t>Derecho del Trabajo y Seguridad Social</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13</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Administrativo</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12</w:t>
            </w:r>
          </w:p>
        </w:tc>
      </w:tr>
      <w:tr w:rsidR="002D6AE5" w:rsidRPr="001678E5" w:rsidTr="008922E3">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Penal Contravencional y de Faltas</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9</w:t>
            </w:r>
          </w:p>
        </w:tc>
      </w:tr>
      <w:tr w:rsidR="002D6AE5" w:rsidRPr="001678E5" w:rsidTr="008922E3">
        <w:trPr>
          <w:trHeight w:val="255"/>
          <w:jc w:val="center"/>
        </w:trPr>
        <w:tc>
          <w:tcPr>
            <w:tcW w:w="4043"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Asociaciones de profesionales</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9</w:t>
            </w:r>
          </w:p>
        </w:tc>
      </w:tr>
      <w:tr w:rsidR="002D6AE5" w:rsidRPr="001678E5" w:rsidTr="0002512E">
        <w:trPr>
          <w:trHeight w:val="255"/>
          <w:jc w:val="center"/>
        </w:trPr>
        <w:tc>
          <w:tcPr>
            <w:tcW w:w="4043"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Otros</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10</w:t>
            </w:r>
          </w:p>
        </w:tc>
      </w:tr>
      <w:tr w:rsidR="002D6AE5" w:rsidRPr="001678E5" w:rsidTr="0002512E">
        <w:trPr>
          <w:trHeight w:val="255"/>
          <w:jc w:val="center"/>
        </w:trPr>
        <w:tc>
          <w:tcPr>
            <w:tcW w:w="4043"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Administración de Justicia</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5</w:t>
            </w:r>
          </w:p>
        </w:tc>
      </w:tr>
      <w:tr w:rsidR="002D6AE5" w:rsidRPr="001678E5" w:rsidTr="0002512E">
        <w:trPr>
          <w:trHeight w:val="255"/>
          <w:jc w:val="center"/>
        </w:trPr>
        <w:tc>
          <w:tcPr>
            <w:tcW w:w="4043"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Electoral</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5</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Urbanístico</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5</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a la Salud</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4</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a la Vivienda</w:t>
            </w:r>
          </w:p>
        </w:tc>
        <w:tc>
          <w:tcPr>
            <w:tcW w:w="120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2</w:t>
            </w:r>
          </w:p>
        </w:tc>
      </w:tr>
      <w:tr w:rsidR="002D6AE5" w:rsidRPr="001678E5" w:rsidTr="0096656E">
        <w:trPr>
          <w:trHeight w:val="255"/>
          <w:jc w:val="center"/>
        </w:trPr>
        <w:tc>
          <w:tcPr>
            <w:tcW w:w="4043"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Libertad de Expresión</w:t>
            </w:r>
          </w:p>
        </w:tc>
        <w:tc>
          <w:tcPr>
            <w:tcW w:w="1200" w:type="dxa"/>
            <w:tcBorders>
              <w:top w:val="single" w:sz="4" w:space="0" w:color="auto"/>
              <w:left w:val="nil"/>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jc w:val="center"/>
        </w:trPr>
        <w:tc>
          <w:tcPr>
            <w:tcW w:w="4043" w:type="dxa"/>
            <w:tcBorders>
              <w:top w:val="single" w:sz="4" w:space="0" w:color="auto"/>
              <w:left w:val="single" w:sz="4" w:space="0" w:color="auto"/>
              <w:bottom w:val="single" w:sz="4" w:space="0" w:color="auto"/>
              <w:right w:val="nil"/>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Total</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right"/>
              <w:rPr>
                <w:rFonts w:ascii="Times New Roman" w:hAnsi="Times New Roman" w:cs="Times New Roman"/>
                <w:b/>
                <w:bCs/>
                <w:szCs w:val="24"/>
              </w:rPr>
            </w:pPr>
            <w:r w:rsidRPr="001678E5">
              <w:rPr>
                <w:rFonts w:ascii="Times New Roman" w:hAnsi="Times New Roman" w:cs="Times New Roman"/>
                <w:b/>
                <w:bCs/>
                <w:szCs w:val="24"/>
              </w:rPr>
              <w:t>182</w:t>
            </w:r>
          </w:p>
        </w:tc>
      </w:tr>
    </w:tbl>
    <w:p w:rsidR="008922E3" w:rsidRPr="001678E5" w:rsidRDefault="008922E3" w:rsidP="001678E5">
      <w:pPr>
        <w:spacing w:after="0"/>
        <w:ind w:left="720"/>
        <w:jc w:val="both"/>
        <w:rPr>
          <w:rFonts w:ascii="Times New Roman" w:hAnsi="Times New Roman" w:cs="Times New Roman"/>
          <w:b/>
          <w:szCs w:val="24"/>
        </w:rPr>
      </w:pPr>
      <w:bookmarkStart w:id="2" w:name="pag8"/>
      <w:bookmarkEnd w:id="2"/>
    </w:p>
    <w:p w:rsidR="002D6AE5" w:rsidRPr="001678E5" w:rsidRDefault="002D6AE5" w:rsidP="001678E5">
      <w:pPr>
        <w:pStyle w:val="Ttulo2"/>
        <w:rPr>
          <w:rFonts w:ascii="Times New Roman" w:hAnsi="Times New Roman"/>
          <w:sz w:val="24"/>
          <w:szCs w:val="24"/>
        </w:rPr>
      </w:pPr>
      <w:r w:rsidRPr="001678E5">
        <w:rPr>
          <w:rFonts w:ascii="Times New Roman" w:hAnsi="Times New Roman"/>
          <w:sz w:val="24"/>
          <w:szCs w:val="24"/>
        </w:rPr>
        <w:t xml:space="preserve">ADI con sentencia favorable. </w:t>
      </w:r>
    </w:p>
    <w:p w:rsidR="002D6AE5" w:rsidRPr="001678E5" w:rsidRDefault="002D6AE5" w:rsidP="001678E5">
      <w:pPr>
        <w:spacing w:after="0"/>
        <w:ind w:firstLine="1418"/>
        <w:jc w:val="both"/>
        <w:rPr>
          <w:rFonts w:ascii="Times New Roman" w:hAnsi="Times New Roman" w:cs="Times New Roman"/>
          <w:szCs w:val="24"/>
        </w:rPr>
      </w:pPr>
      <w:r w:rsidRPr="001678E5">
        <w:rPr>
          <w:rFonts w:ascii="Times New Roman" w:hAnsi="Times New Roman" w:cs="Times New Roman"/>
          <w:szCs w:val="24"/>
        </w:rPr>
        <w:t>En el Cuadro Nº 4 se presentan las acciones acogidas total o parcialmente, según tema. Se constata que a pesar de concentrar buena parte de las acciones, las de derecho tributario han logrado un solo éxito y éste es parcial, en tanto que el empleo público y el  derecho del trabajo y la seguridad social  son las que mayores éxitos recogieron, tanto en cifras absolutas como en porcentaje, comparando los datos del Cuadro siguiente con los del Gráfico Nº 5.</w:t>
      </w:r>
    </w:p>
    <w:p w:rsidR="002D6AE5" w:rsidRPr="001678E5" w:rsidRDefault="002D6AE5" w:rsidP="001678E5">
      <w:pPr>
        <w:spacing w:after="0"/>
        <w:jc w:val="both"/>
        <w:rPr>
          <w:rFonts w:ascii="Times New Roman" w:hAnsi="Times New Roman" w:cs="Times New Roman"/>
          <w:szCs w:val="24"/>
        </w:rPr>
      </w:pPr>
    </w:p>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Cuadro Nº 4</w:t>
      </w:r>
    </w:p>
    <w:p w:rsidR="002D6AE5" w:rsidRPr="001678E5" w:rsidRDefault="002D6AE5" w:rsidP="001678E5">
      <w:pPr>
        <w:spacing w:after="0"/>
        <w:jc w:val="center"/>
        <w:rPr>
          <w:rFonts w:ascii="Times New Roman" w:hAnsi="Times New Roman" w:cs="Times New Roman"/>
          <w:b/>
          <w:szCs w:val="24"/>
        </w:rPr>
      </w:pPr>
      <w:r w:rsidRPr="001678E5">
        <w:rPr>
          <w:rFonts w:ascii="Times New Roman" w:hAnsi="Times New Roman" w:cs="Times New Roman"/>
          <w:b/>
          <w:szCs w:val="24"/>
        </w:rPr>
        <w:t>ADI con sentencia favorable total o parcialmente según tema</w:t>
      </w:r>
    </w:p>
    <w:p w:rsidR="002D6AE5" w:rsidRPr="001678E5" w:rsidRDefault="002D6AE5" w:rsidP="001678E5">
      <w:pPr>
        <w:spacing w:after="0"/>
        <w:jc w:val="center"/>
        <w:rPr>
          <w:rFonts w:ascii="Times New Roman" w:hAnsi="Times New Roman" w:cs="Times New Roman"/>
          <w:szCs w:val="24"/>
        </w:rPr>
      </w:pPr>
    </w:p>
    <w:tbl>
      <w:tblPr>
        <w:tblW w:w="6349" w:type="dxa"/>
        <w:jc w:val="center"/>
        <w:tblCellMar>
          <w:left w:w="70" w:type="dxa"/>
          <w:right w:w="70" w:type="dxa"/>
        </w:tblCellMar>
        <w:tblLook w:val="0000" w:firstRow="0" w:lastRow="0" w:firstColumn="0" w:lastColumn="0" w:noHBand="0" w:noVBand="0"/>
      </w:tblPr>
      <w:tblGrid>
        <w:gridCol w:w="2589"/>
        <w:gridCol w:w="1360"/>
        <w:gridCol w:w="1200"/>
        <w:gridCol w:w="1200"/>
      </w:tblGrid>
      <w:tr w:rsidR="002D6AE5" w:rsidRPr="001678E5" w:rsidTr="0096656E">
        <w:trPr>
          <w:trHeight w:val="255"/>
          <w:jc w:val="center"/>
        </w:trPr>
        <w:tc>
          <w:tcPr>
            <w:tcW w:w="2589" w:type="dxa"/>
            <w:tcBorders>
              <w:top w:val="single" w:sz="4" w:space="0" w:color="auto"/>
              <w:left w:val="single" w:sz="4" w:space="0" w:color="auto"/>
              <w:bottom w:val="single" w:sz="4" w:space="0" w:color="auto"/>
              <w:right w:val="single" w:sz="4" w:space="0" w:color="auto"/>
            </w:tcBorders>
            <w:noWrap/>
            <w:vAlign w:val="center"/>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Tema</w:t>
            </w:r>
          </w:p>
        </w:tc>
        <w:tc>
          <w:tcPr>
            <w:tcW w:w="1360" w:type="dxa"/>
            <w:tcBorders>
              <w:top w:val="single" w:sz="4" w:space="0" w:color="auto"/>
              <w:left w:val="nil"/>
              <w:bottom w:val="single" w:sz="4" w:space="0" w:color="auto"/>
              <w:right w:val="single" w:sz="4" w:space="0" w:color="auto"/>
            </w:tcBorders>
            <w:noWrap/>
            <w:vAlign w:val="center"/>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xml:space="preserve">Sentencia </w:t>
            </w:r>
            <w:r w:rsidRPr="001678E5">
              <w:rPr>
                <w:rFonts w:ascii="Times New Roman" w:hAnsi="Times New Roman" w:cs="Times New Roman"/>
                <w:szCs w:val="24"/>
              </w:rPr>
              <w:lastRenderedPageBreak/>
              <w:t>favorable (total)</w:t>
            </w:r>
          </w:p>
        </w:tc>
        <w:tc>
          <w:tcPr>
            <w:tcW w:w="1200" w:type="dxa"/>
            <w:tcBorders>
              <w:top w:val="single" w:sz="4" w:space="0" w:color="auto"/>
              <w:left w:val="nil"/>
              <w:bottom w:val="single" w:sz="4" w:space="0" w:color="auto"/>
              <w:right w:val="nil"/>
            </w:tcBorders>
            <w:noWrap/>
            <w:vAlign w:val="center"/>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lastRenderedPageBreak/>
              <w:t xml:space="preserve">Sentencia </w:t>
            </w:r>
            <w:r w:rsidRPr="001678E5">
              <w:rPr>
                <w:rFonts w:ascii="Times New Roman" w:hAnsi="Times New Roman" w:cs="Times New Roman"/>
                <w:szCs w:val="24"/>
              </w:rPr>
              <w:lastRenderedPageBreak/>
              <w:t>favorable (parcial)</w:t>
            </w:r>
          </w:p>
        </w:tc>
        <w:tc>
          <w:tcPr>
            <w:tcW w:w="1200" w:type="dxa"/>
            <w:tcBorders>
              <w:top w:val="single" w:sz="4" w:space="0" w:color="auto"/>
              <w:left w:val="single" w:sz="8" w:space="0" w:color="auto"/>
              <w:bottom w:val="single" w:sz="4" w:space="0" w:color="auto"/>
              <w:right w:val="single" w:sz="4" w:space="0" w:color="auto"/>
            </w:tcBorders>
            <w:noWrap/>
            <w:vAlign w:val="center"/>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lastRenderedPageBreak/>
              <w:t>Total</w:t>
            </w:r>
          </w:p>
        </w:tc>
      </w:tr>
      <w:tr w:rsidR="002D6AE5" w:rsidRPr="001678E5" w:rsidTr="0096656E">
        <w:trPr>
          <w:trHeight w:val="255"/>
          <w:jc w:val="center"/>
        </w:trPr>
        <w:tc>
          <w:tcPr>
            <w:tcW w:w="2589" w:type="dxa"/>
            <w:tcBorders>
              <w:top w:val="single" w:sz="8"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lastRenderedPageBreak/>
              <w:t>Derecho Electoral</w:t>
            </w:r>
          </w:p>
        </w:tc>
        <w:tc>
          <w:tcPr>
            <w:tcW w:w="1360" w:type="dxa"/>
            <w:tcBorders>
              <w:top w:val="single" w:sz="8" w:space="0" w:color="auto"/>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single" w:sz="8" w:space="0" w:color="auto"/>
              <w:left w:val="nil"/>
              <w:bottom w:val="single" w:sz="4" w:space="0" w:color="auto"/>
              <w:right w:val="nil"/>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w:t>
            </w:r>
          </w:p>
        </w:tc>
        <w:tc>
          <w:tcPr>
            <w:tcW w:w="1200" w:type="dxa"/>
            <w:tcBorders>
              <w:top w:val="single" w:sz="4" w:space="0" w:color="auto"/>
              <w:left w:val="single" w:sz="8"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jc w:val="center"/>
        </w:trPr>
        <w:tc>
          <w:tcPr>
            <w:tcW w:w="2589"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Administrativo</w:t>
            </w:r>
          </w:p>
        </w:tc>
        <w:tc>
          <w:tcPr>
            <w:tcW w:w="136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nil"/>
              <w:left w:val="nil"/>
              <w:bottom w:val="single" w:sz="4" w:space="0" w:color="auto"/>
              <w:right w:val="nil"/>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w:t>
            </w:r>
          </w:p>
        </w:tc>
        <w:tc>
          <w:tcPr>
            <w:tcW w:w="1200" w:type="dxa"/>
            <w:tcBorders>
              <w:top w:val="nil"/>
              <w:left w:val="single" w:sz="8"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jc w:val="center"/>
        </w:trPr>
        <w:tc>
          <w:tcPr>
            <w:tcW w:w="2589"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Tributario</w:t>
            </w:r>
          </w:p>
        </w:tc>
        <w:tc>
          <w:tcPr>
            <w:tcW w:w="136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nil"/>
              <w:left w:val="nil"/>
              <w:bottom w:val="single" w:sz="4" w:space="0" w:color="auto"/>
              <w:right w:val="nil"/>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w:t>
            </w:r>
          </w:p>
        </w:tc>
        <w:tc>
          <w:tcPr>
            <w:tcW w:w="1200" w:type="dxa"/>
            <w:tcBorders>
              <w:top w:val="nil"/>
              <w:left w:val="single" w:sz="8"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jc w:val="center"/>
        </w:trPr>
        <w:tc>
          <w:tcPr>
            <w:tcW w:w="2589"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Empleo Público</w:t>
            </w:r>
          </w:p>
        </w:tc>
        <w:tc>
          <w:tcPr>
            <w:tcW w:w="136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w:t>
            </w:r>
          </w:p>
        </w:tc>
        <w:tc>
          <w:tcPr>
            <w:tcW w:w="1200" w:type="dxa"/>
            <w:tcBorders>
              <w:top w:val="nil"/>
              <w:left w:val="nil"/>
              <w:bottom w:val="single" w:sz="4" w:space="0" w:color="auto"/>
              <w:right w:val="nil"/>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nil"/>
              <w:left w:val="single" w:sz="8"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3</w:t>
            </w:r>
          </w:p>
        </w:tc>
      </w:tr>
      <w:tr w:rsidR="002D6AE5" w:rsidRPr="001678E5" w:rsidTr="0096656E">
        <w:trPr>
          <w:trHeight w:val="255"/>
          <w:jc w:val="center"/>
        </w:trPr>
        <w:tc>
          <w:tcPr>
            <w:tcW w:w="2589"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Licencias y Permisos</w:t>
            </w:r>
          </w:p>
        </w:tc>
        <w:tc>
          <w:tcPr>
            <w:tcW w:w="136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nil"/>
              <w:left w:val="nil"/>
              <w:bottom w:val="single" w:sz="4" w:space="0" w:color="auto"/>
              <w:right w:val="nil"/>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w:t>
            </w:r>
          </w:p>
        </w:tc>
        <w:tc>
          <w:tcPr>
            <w:tcW w:w="1200" w:type="dxa"/>
            <w:tcBorders>
              <w:top w:val="nil"/>
              <w:left w:val="single" w:sz="8"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jc w:val="center"/>
        </w:trPr>
        <w:tc>
          <w:tcPr>
            <w:tcW w:w="2589" w:type="dxa"/>
            <w:tcBorders>
              <w:top w:val="nil"/>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Administración de justicia</w:t>
            </w:r>
          </w:p>
        </w:tc>
        <w:tc>
          <w:tcPr>
            <w:tcW w:w="1360" w:type="dxa"/>
            <w:tcBorders>
              <w:top w:val="nil"/>
              <w:left w:val="nil"/>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w:t>
            </w:r>
          </w:p>
        </w:tc>
        <w:tc>
          <w:tcPr>
            <w:tcW w:w="1200" w:type="dxa"/>
            <w:tcBorders>
              <w:top w:val="nil"/>
              <w:left w:val="nil"/>
              <w:bottom w:val="single" w:sz="4" w:space="0" w:color="auto"/>
              <w:right w:val="nil"/>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nil"/>
              <w:left w:val="single" w:sz="8"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55"/>
          <w:jc w:val="center"/>
        </w:trPr>
        <w:tc>
          <w:tcPr>
            <w:tcW w:w="2589"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a la Vivienda</w:t>
            </w:r>
          </w:p>
        </w:tc>
        <w:tc>
          <w:tcPr>
            <w:tcW w:w="136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70"/>
          <w:jc w:val="center"/>
        </w:trPr>
        <w:tc>
          <w:tcPr>
            <w:tcW w:w="2589"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del trabajo y SS</w:t>
            </w:r>
          </w:p>
        </w:tc>
        <w:tc>
          <w:tcPr>
            <w:tcW w:w="136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 </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2</w:t>
            </w:r>
          </w:p>
        </w:tc>
      </w:tr>
      <w:tr w:rsidR="002D6AE5" w:rsidRPr="001678E5" w:rsidTr="0096656E">
        <w:trPr>
          <w:trHeight w:val="270"/>
          <w:jc w:val="center"/>
        </w:trPr>
        <w:tc>
          <w:tcPr>
            <w:tcW w:w="2589"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Procedimiento legislativo</w:t>
            </w:r>
          </w:p>
        </w:tc>
        <w:tc>
          <w:tcPr>
            <w:tcW w:w="136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b/>
                <w:bCs/>
                <w:szCs w:val="24"/>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r w:rsidR="002D6AE5" w:rsidRPr="001678E5" w:rsidTr="0096656E">
        <w:trPr>
          <w:trHeight w:val="270"/>
          <w:jc w:val="center"/>
        </w:trPr>
        <w:tc>
          <w:tcPr>
            <w:tcW w:w="2589"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rPr>
                <w:rFonts w:ascii="Times New Roman" w:hAnsi="Times New Roman" w:cs="Times New Roman"/>
                <w:szCs w:val="24"/>
              </w:rPr>
            </w:pPr>
            <w:r w:rsidRPr="001678E5">
              <w:rPr>
                <w:rFonts w:ascii="Times New Roman" w:hAnsi="Times New Roman" w:cs="Times New Roman"/>
                <w:szCs w:val="24"/>
              </w:rPr>
              <w:t>Derecho PCyF</w:t>
            </w:r>
          </w:p>
        </w:tc>
        <w:tc>
          <w:tcPr>
            <w:tcW w:w="136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b/>
                <w:bCs/>
                <w:szCs w:val="24"/>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c>
          <w:tcPr>
            <w:tcW w:w="1200" w:type="dxa"/>
            <w:tcBorders>
              <w:top w:val="single" w:sz="4" w:space="0" w:color="auto"/>
              <w:left w:val="single" w:sz="4" w:space="0" w:color="auto"/>
              <w:bottom w:val="single" w:sz="4" w:space="0" w:color="auto"/>
              <w:right w:val="single" w:sz="4" w:space="0" w:color="auto"/>
            </w:tcBorders>
            <w:noWrap/>
            <w:vAlign w:val="bottom"/>
          </w:tcPr>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szCs w:val="24"/>
              </w:rPr>
              <w:t>1</w:t>
            </w:r>
          </w:p>
        </w:tc>
      </w:tr>
    </w:tbl>
    <w:p w:rsidR="002D6AE5" w:rsidRPr="001678E5" w:rsidRDefault="002D6AE5" w:rsidP="001678E5">
      <w:pPr>
        <w:spacing w:after="0"/>
        <w:rPr>
          <w:rFonts w:ascii="Times New Roman" w:hAnsi="Times New Roman" w:cs="Times New Roman"/>
          <w:b/>
          <w:szCs w:val="24"/>
        </w:rPr>
      </w:pPr>
    </w:p>
    <w:p w:rsidR="00926C5F" w:rsidRPr="001678E5" w:rsidRDefault="00926C5F" w:rsidP="001678E5">
      <w:pPr>
        <w:spacing w:after="0"/>
        <w:rPr>
          <w:rFonts w:ascii="Times New Roman" w:hAnsi="Times New Roman" w:cs="Times New Roman"/>
          <w:b/>
          <w:szCs w:val="24"/>
        </w:rPr>
      </w:pPr>
    </w:p>
    <w:p w:rsidR="00AB012E" w:rsidRPr="001678E5" w:rsidRDefault="00AB012E" w:rsidP="001678E5">
      <w:pPr>
        <w:spacing w:after="0"/>
        <w:jc w:val="center"/>
        <w:rPr>
          <w:rFonts w:ascii="Times New Roman" w:hAnsi="Times New Roman" w:cs="Times New Roman"/>
          <w:b/>
          <w:szCs w:val="24"/>
        </w:rPr>
      </w:pPr>
      <w:r w:rsidRPr="001678E5">
        <w:rPr>
          <w:rFonts w:ascii="Times New Roman" w:hAnsi="Times New Roman" w:cs="Times New Roman"/>
          <w:b/>
          <w:szCs w:val="24"/>
        </w:rPr>
        <w:t>Gráfico N° 5</w:t>
      </w:r>
    </w:p>
    <w:p w:rsidR="002D6AE5" w:rsidRPr="001678E5" w:rsidRDefault="0014332C" w:rsidP="001678E5">
      <w:pPr>
        <w:spacing w:after="0"/>
        <w:jc w:val="center"/>
        <w:rPr>
          <w:rFonts w:ascii="Times New Roman" w:hAnsi="Times New Roman" w:cs="Times New Roman"/>
          <w:noProof/>
          <w:szCs w:val="24"/>
        </w:rPr>
      </w:pPr>
      <w:r w:rsidRPr="001678E5">
        <w:rPr>
          <w:rFonts w:ascii="Times New Roman" w:hAnsi="Times New Roman" w:cs="Times New Roman"/>
          <w:noProof/>
          <w:szCs w:val="24"/>
        </w:rPr>
        <w:lastRenderedPageBreak/>
        <w:drawing>
          <wp:inline distT="0" distB="0" distL="0" distR="0" wp14:anchorId="4E778C62" wp14:editId="5B515AE0">
            <wp:extent cx="4600575" cy="3019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3019425"/>
                    </a:xfrm>
                    <a:prstGeom prst="rect">
                      <a:avLst/>
                    </a:prstGeom>
                    <a:noFill/>
                    <a:ln>
                      <a:noFill/>
                    </a:ln>
                  </pic:spPr>
                </pic:pic>
              </a:graphicData>
            </a:graphic>
          </wp:inline>
        </w:drawing>
      </w:r>
    </w:p>
    <w:p w:rsidR="00AB012E" w:rsidRPr="001678E5" w:rsidRDefault="00AB012E" w:rsidP="001678E5">
      <w:pPr>
        <w:spacing w:after="0"/>
        <w:jc w:val="center"/>
        <w:rPr>
          <w:rFonts w:ascii="Times New Roman" w:hAnsi="Times New Roman" w:cs="Times New Roman"/>
          <w:szCs w:val="24"/>
        </w:rPr>
      </w:pPr>
    </w:p>
    <w:p w:rsidR="002D6AE5" w:rsidRPr="001678E5" w:rsidRDefault="002D6AE5" w:rsidP="001678E5">
      <w:pPr>
        <w:pStyle w:val="Ttulo3"/>
        <w:rPr>
          <w:rFonts w:ascii="Times New Roman" w:hAnsi="Times New Roman"/>
          <w:szCs w:val="24"/>
        </w:rPr>
      </w:pPr>
      <w:bookmarkStart w:id="3" w:name="pag9"/>
      <w:bookmarkEnd w:id="3"/>
      <w:r w:rsidRPr="001678E5">
        <w:rPr>
          <w:rFonts w:ascii="Times New Roman" w:hAnsi="Times New Roman"/>
          <w:szCs w:val="24"/>
        </w:rPr>
        <w:t>ADI con sentencia favorable por calidad del actor</w:t>
      </w:r>
    </w:p>
    <w:p w:rsidR="002D6AE5" w:rsidRPr="001678E5" w:rsidRDefault="002D6AE5" w:rsidP="001678E5">
      <w:pPr>
        <w:spacing w:after="0"/>
        <w:ind w:firstLine="360"/>
        <w:jc w:val="both"/>
        <w:rPr>
          <w:rFonts w:ascii="Times New Roman" w:hAnsi="Times New Roman" w:cs="Times New Roman"/>
          <w:szCs w:val="24"/>
        </w:rPr>
      </w:pPr>
      <w:r w:rsidRPr="001678E5">
        <w:rPr>
          <w:rFonts w:ascii="Times New Roman" w:hAnsi="Times New Roman" w:cs="Times New Roman"/>
          <w:szCs w:val="24"/>
        </w:rPr>
        <w:t>En el Gráfico Nº 6 de observa que más de los dos tercios de las acciones presentadas corresponden a personas físicas y el resto, en números similares, por personas jurídicas de interés social, empresas y organismos o funcionarios públicos.</w:t>
      </w:r>
    </w:p>
    <w:p w:rsidR="00AB012E" w:rsidRPr="001678E5" w:rsidRDefault="00AB012E" w:rsidP="001678E5">
      <w:pPr>
        <w:spacing w:after="0"/>
        <w:jc w:val="center"/>
        <w:rPr>
          <w:rFonts w:ascii="Times New Roman" w:hAnsi="Times New Roman" w:cs="Times New Roman"/>
          <w:b/>
          <w:szCs w:val="24"/>
        </w:rPr>
      </w:pPr>
    </w:p>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b/>
          <w:szCs w:val="24"/>
        </w:rPr>
        <w:t>Gráfico Nº 6</w:t>
      </w:r>
    </w:p>
    <w:p w:rsidR="002D6AE5" w:rsidRPr="001678E5" w:rsidRDefault="0014332C" w:rsidP="001678E5">
      <w:pPr>
        <w:spacing w:after="0"/>
        <w:jc w:val="center"/>
        <w:rPr>
          <w:rFonts w:ascii="Times New Roman" w:hAnsi="Times New Roman" w:cs="Times New Roman"/>
          <w:noProof/>
          <w:szCs w:val="24"/>
        </w:rPr>
      </w:pPr>
      <w:r w:rsidRPr="001678E5">
        <w:rPr>
          <w:rFonts w:ascii="Times New Roman" w:hAnsi="Times New Roman" w:cs="Times New Roman"/>
          <w:noProof/>
          <w:szCs w:val="24"/>
        </w:rPr>
        <w:lastRenderedPageBreak/>
        <w:drawing>
          <wp:inline distT="0" distB="0" distL="0" distR="0" wp14:anchorId="5B1823F5" wp14:editId="48284D03">
            <wp:extent cx="4581525" cy="2752725"/>
            <wp:effectExtent l="0" t="0" r="0"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2D6AE5" w:rsidRPr="001678E5" w:rsidRDefault="002D6AE5" w:rsidP="001678E5">
      <w:pPr>
        <w:spacing w:after="0"/>
        <w:jc w:val="center"/>
        <w:rPr>
          <w:rFonts w:ascii="Times New Roman" w:hAnsi="Times New Roman" w:cs="Times New Roman"/>
          <w:szCs w:val="24"/>
        </w:rPr>
      </w:pPr>
    </w:p>
    <w:p w:rsidR="002D6AE5" w:rsidRPr="001678E5" w:rsidRDefault="002D6AE5" w:rsidP="001678E5">
      <w:pPr>
        <w:spacing w:after="0"/>
        <w:ind w:firstLine="708"/>
        <w:jc w:val="both"/>
        <w:rPr>
          <w:rFonts w:ascii="Times New Roman" w:hAnsi="Times New Roman" w:cs="Times New Roman"/>
          <w:szCs w:val="24"/>
        </w:rPr>
      </w:pPr>
      <w:r w:rsidRPr="001678E5">
        <w:rPr>
          <w:rFonts w:ascii="Times New Roman" w:hAnsi="Times New Roman" w:cs="Times New Roman"/>
          <w:szCs w:val="24"/>
        </w:rPr>
        <w:t>Por otra parte, sugestivamente, el Gráfico Nº 7 muestra que de las trece acciones con sentencia favorable, cuatro (4) fueron iniciadas por organizaciones civiles o sindicales, una (1) por funcionarios u organismos gubernamentales, dos (2) por empresas y de las seis (6)  ADI promovidas por personas físicas, tres (3) fueron presentadas por abogados.</w:t>
      </w:r>
    </w:p>
    <w:p w:rsidR="002D6AE5" w:rsidRPr="001678E5" w:rsidRDefault="002D6AE5" w:rsidP="001678E5">
      <w:pPr>
        <w:spacing w:after="0"/>
        <w:jc w:val="center"/>
        <w:rPr>
          <w:rFonts w:ascii="Times New Roman" w:hAnsi="Times New Roman" w:cs="Times New Roman"/>
          <w:b/>
          <w:szCs w:val="24"/>
        </w:rPr>
      </w:pPr>
    </w:p>
    <w:p w:rsidR="002D6AE5" w:rsidRPr="001678E5" w:rsidRDefault="002D6AE5" w:rsidP="001678E5">
      <w:pPr>
        <w:spacing w:after="0"/>
        <w:jc w:val="center"/>
        <w:rPr>
          <w:rFonts w:ascii="Times New Roman" w:hAnsi="Times New Roman" w:cs="Times New Roman"/>
          <w:szCs w:val="24"/>
        </w:rPr>
      </w:pPr>
      <w:r w:rsidRPr="001678E5">
        <w:rPr>
          <w:rFonts w:ascii="Times New Roman" w:hAnsi="Times New Roman" w:cs="Times New Roman"/>
          <w:b/>
          <w:szCs w:val="24"/>
        </w:rPr>
        <w:t>Gráfico Nº 7</w:t>
      </w:r>
    </w:p>
    <w:p w:rsidR="002D6AE5" w:rsidRPr="001678E5" w:rsidRDefault="0014332C" w:rsidP="001678E5">
      <w:pPr>
        <w:spacing w:after="0"/>
        <w:jc w:val="center"/>
        <w:rPr>
          <w:rFonts w:ascii="Times New Roman" w:hAnsi="Times New Roman" w:cs="Times New Roman"/>
          <w:szCs w:val="24"/>
        </w:rPr>
      </w:pPr>
      <w:r w:rsidRPr="001678E5">
        <w:rPr>
          <w:rFonts w:ascii="Times New Roman" w:hAnsi="Times New Roman" w:cs="Times New Roman"/>
          <w:noProof/>
          <w:szCs w:val="24"/>
        </w:rPr>
        <w:lastRenderedPageBreak/>
        <w:drawing>
          <wp:inline distT="0" distB="0" distL="0" distR="0" wp14:anchorId="4D1F5237" wp14:editId="45A1F7EC">
            <wp:extent cx="4114800" cy="27336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733675"/>
                    </a:xfrm>
                    <a:prstGeom prst="rect">
                      <a:avLst/>
                    </a:prstGeom>
                    <a:noFill/>
                    <a:ln>
                      <a:noFill/>
                    </a:ln>
                  </pic:spPr>
                </pic:pic>
              </a:graphicData>
            </a:graphic>
          </wp:inline>
        </w:drawing>
      </w:r>
    </w:p>
    <w:p w:rsidR="00B01240" w:rsidRPr="001678E5" w:rsidRDefault="00B01240" w:rsidP="001678E5">
      <w:pPr>
        <w:pStyle w:val="Textonotapie"/>
        <w:spacing w:after="0"/>
        <w:ind w:firstLine="709"/>
        <w:jc w:val="both"/>
        <w:rPr>
          <w:rFonts w:ascii="Times New Roman" w:hAnsi="Times New Roman"/>
          <w:b/>
          <w:color w:val="000000"/>
          <w:sz w:val="24"/>
          <w:szCs w:val="24"/>
        </w:rPr>
      </w:pPr>
    </w:p>
    <w:p w:rsidR="00C014A6" w:rsidRPr="001678E5" w:rsidRDefault="003C58CA" w:rsidP="001678E5">
      <w:pPr>
        <w:pStyle w:val="Ttulo1"/>
        <w:rPr>
          <w:rFonts w:ascii="Times New Roman" w:hAnsi="Times New Roman"/>
          <w:sz w:val="24"/>
          <w:szCs w:val="24"/>
        </w:rPr>
      </w:pPr>
      <w:r w:rsidRPr="001678E5">
        <w:rPr>
          <w:rFonts w:ascii="Times New Roman" w:hAnsi="Times New Roman"/>
          <w:sz w:val="24"/>
          <w:szCs w:val="24"/>
        </w:rPr>
        <w:t>CONCLUSIONES</w:t>
      </w:r>
    </w:p>
    <w:p w:rsidR="004817B5" w:rsidRPr="001678E5" w:rsidRDefault="00AE71ED"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Como se puede advertir</w:t>
      </w:r>
      <w:r w:rsidR="003C58CA" w:rsidRPr="001678E5">
        <w:rPr>
          <w:rFonts w:ascii="Times New Roman" w:hAnsi="Times New Roman"/>
          <w:color w:val="000000"/>
          <w:sz w:val="24"/>
          <w:szCs w:val="24"/>
        </w:rPr>
        <w:t xml:space="preserve">, la </w:t>
      </w:r>
      <w:r w:rsidR="00CD4CE0" w:rsidRPr="001678E5">
        <w:rPr>
          <w:rFonts w:ascii="Times New Roman" w:hAnsi="Times New Roman"/>
          <w:color w:val="000000"/>
          <w:sz w:val="24"/>
          <w:szCs w:val="24"/>
        </w:rPr>
        <w:t>ADI</w:t>
      </w:r>
      <w:r w:rsidR="003C58CA" w:rsidRPr="001678E5">
        <w:rPr>
          <w:rFonts w:ascii="Times New Roman" w:hAnsi="Times New Roman"/>
          <w:color w:val="000000"/>
          <w:sz w:val="24"/>
          <w:szCs w:val="24"/>
        </w:rPr>
        <w:t xml:space="preserve"> ha sido un instrumento utilizado por sectores más aventajados para la gestión de un interés personal, corporativo o por cuestiones políticas. </w:t>
      </w:r>
    </w:p>
    <w:p w:rsidR="00F32112" w:rsidRPr="001678E5" w:rsidRDefault="001070FD"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Este estudio revela que </w:t>
      </w:r>
      <w:r w:rsidR="003C58CA" w:rsidRPr="001678E5">
        <w:rPr>
          <w:rFonts w:ascii="Times New Roman" w:hAnsi="Times New Roman"/>
          <w:color w:val="000000"/>
          <w:sz w:val="24"/>
          <w:szCs w:val="24"/>
        </w:rPr>
        <w:t xml:space="preserve">ninguna persona en situación de pobreza o en alto estado de vulnerabilidad </w:t>
      </w:r>
      <w:r w:rsidRPr="001678E5">
        <w:rPr>
          <w:rFonts w:ascii="Times New Roman" w:hAnsi="Times New Roman"/>
          <w:color w:val="000000"/>
          <w:sz w:val="24"/>
          <w:szCs w:val="24"/>
        </w:rPr>
        <w:t>interpuso esta acción</w:t>
      </w:r>
      <w:r w:rsidR="003C58CA" w:rsidRPr="001678E5">
        <w:rPr>
          <w:rFonts w:ascii="Times New Roman" w:hAnsi="Times New Roman"/>
          <w:color w:val="000000"/>
          <w:sz w:val="24"/>
          <w:szCs w:val="24"/>
        </w:rPr>
        <w:t xml:space="preserve">. </w:t>
      </w:r>
      <w:r w:rsidR="00F32112" w:rsidRPr="001678E5">
        <w:rPr>
          <w:rFonts w:ascii="Times New Roman" w:hAnsi="Times New Roman"/>
          <w:color w:val="000000"/>
          <w:sz w:val="24"/>
          <w:szCs w:val="24"/>
        </w:rPr>
        <w:t xml:space="preserve">Para el proverbial hombre de la calle el sostenimiento del orden jurídico es indiferente. Los textos legales para el ciudadano común son inentendibles por su </w:t>
      </w:r>
      <w:proofErr w:type="spellStart"/>
      <w:r w:rsidR="00F32112" w:rsidRPr="001678E5">
        <w:rPr>
          <w:rFonts w:ascii="Times New Roman" w:hAnsi="Times New Roman"/>
          <w:color w:val="000000"/>
          <w:sz w:val="24"/>
          <w:szCs w:val="24"/>
        </w:rPr>
        <w:t>intransparencia</w:t>
      </w:r>
      <w:proofErr w:type="spellEnd"/>
      <w:r w:rsidR="00F32112" w:rsidRPr="001678E5">
        <w:rPr>
          <w:rFonts w:ascii="Times New Roman" w:hAnsi="Times New Roman"/>
          <w:color w:val="000000"/>
          <w:sz w:val="24"/>
          <w:szCs w:val="24"/>
        </w:rPr>
        <w:t xml:space="preserve"> lógica y creciente complejidad. </w:t>
      </w:r>
    </w:p>
    <w:p w:rsidR="00E65D6B" w:rsidRPr="001678E5" w:rsidRDefault="003C58CA"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Ahora bien, ¿Debemos eliminar esta acción dado que no todos la utilizan? De ninguna manera</w:t>
      </w:r>
      <w:r w:rsidR="00E65D6B" w:rsidRPr="001678E5">
        <w:rPr>
          <w:rFonts w:ascii="Times New Roman" w:hAnsi="Times New Roman"/>
          <w:color w:val="000000"/>
          <w:sz w:val="24"/>
          <w:szCs w:val="24"/>
        </w:rPr>
        <w:t>. No obstante,</w:t>
      </w:r>
      <w:r w:rsidRPr="001678E5">
        <w:rPr>
          <w:rFonts w:ascii="Times New Roman" w:hAnsi="Times New Roman"/>
          <w:color w:val="000000"/>
          <w:sz w:val="24"/>
          <w:szCs w:val="24"/>
        </w:rPr>
        <w:t xml:space="preserve"> debemos repensar cómo la diseñamos para que aquellos que no cuentan con cargos</w:t>
      </w:r>
      <w:r w:rsidR="001070FD" w:rsidRPr="001678E5">
        <w:rPr>
          <w:rFonts w:ascii="Times New Roman" w:hAnsi="Times New Roman"/>
          <w:color w:val="000000"/>
          <w:sz w:val="24"/>
          <w:szCs w:val="24"/>
        </w:rPr>
        <w:t xml:space="preserve"> políticos</w:t>
      </w:r>
      <w:r w:rsidRPr="001678E5">
        <w:rPr>
          <w:rFonts w:ascii="Times New Roman" w:hAnsi="Times New Roman"/>
          <w:color w:val="000000"/>
          <w:sz w:val="24"/>
          <w:szCs w:val="24"/>
        </w:rPr>
        <w:t xml:space="preserve">, ni poderío económico puedan participar en el sostenimiento de los valores constitucionales. </w:t>
      </w:r>
    </w:p>
    <w:p w:rsidR="003C58CA" w:rsidRPr="001678E5" w:rsidRDefault="003C58CA"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Asimismo, debemos </w:t>
      </w:r>
      <w:r w:rsidR="004F46F6" w:rsidRPr="001678E5">
        <w:rPr>
          <w:rFonts w:ascii="Times New Roman" w:hAnsi="Times New Roman"/>
          <w:color w:val="000000"/>
          <w:sz w:val="24"/>
          <w:szCs w:val="24"/>
        </w:rPr>
        <w:t>modelar esta</w:t>
      </w:r>
      <w:r w:rsidRPr="001678E5">
        <w:rPr>
          <w:rFonts w:ascii="Times New Roman" w:hAnsi="Times New Roman"/>
          <w:color w:val="000000"/>
          <w:sz w:val="24"/>
          <w:szCs w:val="24"/>
        </w:rPr>
        <w:t xml:space="preserve"> acción para que aquellos que gestiona</w:t>
      </w:r>
      <w:r w:rsidR="004F46F6" w:rsidRPr="001678E5">
        <w:rPr>
          <w:rFonts w:ascii="Times New Roman" w:hAnsi="Times New Roman"/>
          <w:color w:val="000000"/>
          <w:sz w:val="24"/>
          <w:szCs w:val="24"/>
        </w:rPr>
        <w:t>n</w:t>
      </w:r>
      <w:r w:rsidRPr="001678E5">
        <w:rPr>
          <w:rFonts w:ascii="Times New Roman" w:hAnsi="Times New Roman"/>
          <w:color w:val="000000"/>
          <w:sz w:val="24"/>
          <w:szCs w:val="24"/>
        </w:rPr>
        <w:t xml:space="preserve"> un interés privado o político o comercial, no utilicen ni abusen de esta herramienta jurídica.</w:t>
      </w:r>
    </w:p>
    <w:p w:rsidR="003C58CA" w:rsidRPr="001678E5" w:rsidRDefault="003C58CA"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lastRenderedPageBreak/>
        <w:t xml:space="preserve">En otro orden de ideas, </w:t>
      </w:r>
      <w:r w:rsidR="001070FD" w:rsidRPr="001678E5">
        <w:rPr>
          <w:rFonts w:ascii="Times New Roman" w:hAnsi="Times New Roman"/>
          <w:color w:val="000000"/>
          <w:sz w:val="24"/>
          <w:szCs w:val="24"/>
        </w:rPr>
        <w:t>el Tribunal Super</w:t>
      </w:r>
      <w:r w:rsidRPr="001678E5">
        <w:rPr>
          <w:rFonts w:ascii="Times New Roman" w:hAnsi="Times New Roman"/>
          <w:color w:val="000000"/>
          <w:sz w:val="24"/>
          <w:szCs w:val="24"/>
        </w:rPr>
        <w:t>ior de Justicia hizo lugar a muy pocas acciones de este tipo</w:t>
      </w:r>
      <w:r w:rsidR="00BC2726" w:rsidRPr="001678E5">
        <w:rPr>
          <w:rFonts w:ascii="Times New Roman" w:hAnsi="Times New Roman"/>
          <w:color w:val="000000"/>
          <w:sz w:val="24"/>
          <w:szCs w:val="24"/>
        </w:rPr>
        <w:t xml:space="preserve">, </w:t>
      </w:r>
      <w:r w:rsidR="00BD4886" w:rsidRPr="001678E5">
        <w:rPr>
          <w:rFonts w:ascii="Times New Roman" w:hAnsi="Times New Roman"/>
          <w:color w:val="000000"/>
          <w:sz w:val="24"/>
          <w:szCs w:val="24"/>
        </w:rPr>
        <w:t>tal como se expuso</w:t>
      </w:r>
      <w:r w:rsidR="00BC2726" w:rsidRPr="001678E5">
        <w:rPr>
          <w:rFonts w:ascii="Times New Roman" w:hAnsi="Times New Roman"/>
          <w:color w:val="000000"/>
          <w:sz w:val="24"/>
          <w:szCs w:val="24"/>
        </w:rPr>
        <w:t>. Asimismo, se rechazaron</w:t>
      </w:r>
      <w:r w:rsidR="004F46F6" w:rsidRPr="001678E5">
        <w:rPr>
          <w:rFonts w:ascii="Times New Roman" w:hAnsi="Times New Roman"/>
          <w:color w:val="000000"/>
          <w:sz w:val="24"/>
          <w:szCs w:val="24"/>
        </w:rPr>
        <w:t xml:space="preserve"> muy pocas acciones por la cuestión de fondo</w:t>
      </w:r>
      <w:r w:rsidR="00BC2726" w:rsidRPr="001678E5">
        <w:rPr>
          <w:rFonts w:ascii="Times New Roman" w:hAnsi="Times New Roman"/>
          <w:color w:val="000000"/>
          <w:sz w:val="24"/>
          <w:szCs w:val="24"/>
        </w:rPr>
        <w:t xml:space="preserve">. En efecto, del universo referido, tan solo un </w:t>
      </w:r>
      <w:r w:rsidR="00F371F1" w:rsidRPr="001678E5">
        <w:rPr>
          <w:rFonts w:ascii="Times New Roman" w:hAnsi="Times New Roman"/>
          <w:color w:val="000000"/>
          <w:sz w:val="24"/>
          <w:szCs w:val="24"/>
        </w:rPr>
        <w:t>24,44</w:t>
      </w:r>
      <w:r w:rsidR="00BC2726" w:rsidRPr="001678E5">
        <w:rPr>
          <w:rFonts w:ascii="Times New Roman" w:hAnsi="Times New Roman"/>
          <w:color w:val="000000"/>
          <w:sz w:val="24"/>
          <w:szCs w:val="24"/>
        </w:rPr>
        <w:t>% se rechazaron sobre estas circunstancias</w:t>
      </w:r>
      <w:r w:rsidRPr="001678E5">
        <w:rPr>
          <w:rFonts w:ascii="Times New Roman" w:hAnsi="Times New Roman"/>
          <w:color w:val="000000"/>
          <w:sz w:val="24"/>
          <w:szCs w:val="24"/>
        </w:rPr>
        <w:t>. La mayoría han sido desestimadas por cuestiones formales.</w:t>
      </w:r>
      <w:r w:rsidR="004F46F6" w:rsidRPr="001678E5">
        <w:rPr>
          <w:rFonts w:ascii="Times New Roman" w:hAnsi="Times New Roman"/>
          <w:color w:val="000000"/>
          <w:sz w:val="24"/>
          <w:szCs w:val="24"/>
        </w:rPr>
        <w:t xml:space="preserve"> Aquí, podríamos preguntarnos:</w:t>
      </w:r>
      <w:r w:rsidR="001070FD" w:rsidRPr="001678E5">
        <w:rPr>
          <w:rFonts w:ascii="Times New Roman" w:hAnsi="Times New Roman"/>
          <w:color w:val="000000"/>
          <w:sz w:val="24"/>
          <w:szCs w:val="24"/>
        </w:rPr>
        <w:t xml:space="preserve"> </w:t>
      </w:r>
      <w:r w:rsidR="004F46F6" w:rsidRPr="001678E5">
        <w:rPr>
          <w:rFonts w:ascii="Times New Roman" w:hAnsi="Times New Roman"/>
          <w:color w:val="000000"/>
          <w:sz w:val="24"/>
          <w:szCs w:val="24"/>
        </w:rPr>
        <w:t xml:space="preserve">¿los letrados que interpusieron la acción fueron tan ineficientes que no conocían los requisitos formales para presentarla? </w:t>
      </w:r>
    </w:p>
    <w:p w:rsidR="004F46F6" w:rsidRPr="001678E5" w:rsidRDefault="00EA174D"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¿El Tribunal no quiso utilizar su función política para dejar sin efecto una ley?</w:t>
      </w:r>
    </w:p>
    <w:p w:rsidR="00EA174D" w:rsidRPr="001678E5" w:rsidRDefault="00EA174D" w:rsidP="001678E5">
      <w:pPr>
        <w:pStyle w:val="Textonotapie"/>
        <w:spacing w:after="0"/>
        <w:ind w:firstLine="1418"/>
        <w:jc w:val="both"/>
        <w:rPr>
          <w:rFonts w:ascii="Times New Roman" w:hAnsi="Times New Roman"/>
          <w:color w:val="000000"/>
          <w:sz w:val="24"/>
          <w:szCs w:val="24"/>
        </w:rPr>
      </w:pPr>
      <w:r w:rsidRPr="001678E5">
        <w:rPr>
          <w:rFonts w:ascii="Times New Roman" w:hAnsi="Times New Roman"/>
          <w:color w:val="000000"/>
          <w:sz w:val="24"/>
          <w:szCs w:val="24"/>
        </w:rPr>
        <w:t xml:space="preserve">En fin, por medio de una investigación cuantitativa podemos reconstruir conceptualmente la </w:t>
      </w:r>
      <w:r w:rsidR="00680E7A" w:rsidRPr="001678E5">
        <w:rPr>
          <w:rFonts w:ascii="Times New Roman" w:hAnsi="Times New Roman"/>
          <w:color w:val="000000"/>
          <w:sz w:val="24"/>
          <w:szCs w:val="24"/>
        </w:rPr>
        <w:t>ADI</w:t>
      </w:r>
      <w:r w:rsidRPr="001678E5">
        <w:rPr>
          <w:rFonts w:ascii="Times New Roman" w:hAnsi="Times New Roman"/>
          <w:color w:val="000000"/>
          <w:sz w:val="24"/>
          <w:szCs w:val="24"/>
        </w:rPr>
        <w:t xml:space="preserve">, haciéndola más amplia para vastos sectores de la comunidad; más profunda a fin de que podamos entender los valores sustanciales que la </w:t>
      </w:r>
      <w:r w:rsidR="00B66583" w:rsidRPr="001678E5">
        <w:rPr>
          <w:rFonts w:ascii="Times New Roman" w:hAnsi="Times New Roman"/>
          <w:color w:val="000000"/>
          <w:sz w:val="24"/>
          <w:szCs w:val="24"/>
        </w:rPr>
        <w:t>inspiran</w:t>
      </w:r>
      <w:r w:rsidRPr="001678E5">
        <w:rPr>
          <w:rFonts w:ascii="Times New Roman" w:hAnsi="Times New Roman"/>
          <w:color w:val="000000"/>
          <w:sz w:val="24"/>
          <w:szCs w:val="24"/>
        </w:rPr>
        <w:t xml:space="preserve"> y más exacta de manera que e</w:t>
      </w:r>
      <w:r w:rsidR="00B66583" w:rsidRPr="001678E5">
        <w:rPr>
          <w:rFonts w:ascii="Times New Roman" w:hAnsi="Times New Roman"/>
          <w:color w:val="000000"/>
          <w:sz w:val="24"/>
          <w:szCs w:val="24"/>
        </w:rPr>
        <w:t>l</w:t>
      </w:r>
      <w:r w:rsidRPr="001678E5">
        <w:rPr>
          <w:rFonts w:ascii="Times New Roman" w:hAnsi="Times New Roman"/>
          <w:color w:val="000000"/>
          <w:sz w:val="24"/>
          <w:szCs w:val="24"/>
        </w:rPr>
        <w:t xml:space="preserve"> rechazo por cuestiones formales sea más claro. A riesgo de resultar reiterativo, debemos reformular esta acción para hacerla más amplia, profunda y exacta.</w:t>
      </w:r>
    </w:p>
    <w:p w:rsidR="0081585C" w:rsidRPr="001678E5" w:rsidRDefault="0081585C" w:rsidP="001678E5">
      <w:pPr>
        <w:pStyle w:val="Textonotapie"/>
        <w:spacing w:after="0"/>
        <w:jc w:val="both"/>
        <w:rPr>
          <w:rFonts w:ascii="Times New Roman" w:hAnsi="Times New Roman"/>
          <w:color w:val="000000"/>
          <w:sz w:val="24"/>
          <w:szCs w:val="24"/>
        </w:rPr>
      </w:pPr>
    </w:p>
    <w:p w:rsidR="00B934EF" w:rsidRPr="001678E5" w:rsidRDefault="00B665AD" w:rsidP="001678E5">
      <w:pPr>
        <w:spacing w:after="0"/>
        <w:rPr>
          <w:rFonts w:ascii="Times New Roman" w:hAnsi="Times New Roman" w:cs="Times New Roman"/>
          <w:color w:val="000000"/>
          <w:szCs w:val="24"/>
        </w:rPr>
      </w:pPr>
      <w:r w:rsidRPr="001678E5">
        <w:rPr>
          <w:rFonts w:ascii="Times New Roman" w:hAnsi="Times New Roman" w:cs="Times New Roman"/>
          <w:color w:val="000000"/>
          <w:szCs w:val="24"/>
        </w:rPr>
        <w:t xml:space="preserve"> </w:t>
      </w:r>
      <w:r w:rsidR="0081585C" w:rsidRPr="001678E5">
        <w:rPr>
          <w:rFonts w:ascii="Times New Roman" w:hAnsi="Times New Roman" w:cs="Times New Roman"/>
          <w:color w:val="000000"/>
          <w:szCs w:val="24"/>
        </w:rPr>
        <w:br w:type="page"/>
      </w:r>
    </w:p>
    <w:p w:rsidR="00335133" w:rsidRDefault="00335133" w:rsidP="00335133">
      <w:pPr>
        <w:spacing w:after="0"/>
        <w:rPr>
          <w:rFonts w:ascii="Times New Roman" w:hAnsi="Times New Roman" w:cs="Times New Roman"/>
          <w:b/>
          <w:color w:val="000000"/>
          <w:szCs w:val="24"/>
        </w:rPr>
      </w:pPr>
      <w:bookmarkStart w:id="4" w:name="_GoBack"/>
      <w:bookmarkEnd w:id="4"/>
    </w:p>
    <w:sectPr w:rsidR="00335133" w:rsidSect="001678E5">
      <w:footerReference w:type="default" r:id="rId16"/>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D9" w:rsidRDefault="003107D9" w:rsidP="00257EF1">
      <w:pPr>
        <w:spacing w:after="0" w:line="240" w:lineRule="auto"/>
      </w:pPr>
      <w:r>
        <w:separator/>
      </w:r>
    </w:p>
  </w:endnote>
  <w:endnote w:type="continuationSeparator" w:id="0">
    <w:p w:rsidR="003107D9" w:rsidRDefault="003107D9" w:rsidP="0025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9524"/>
      <w:docPartObj>
        <w:docPartGallery w:val="Page Numbers (Bottom of Page)"/>
        <w:docPartUnique/>
      </w:docPartObj>
    </w:sdtPr>
    <w:sdtContent>
      <w:p w:rsidR="007C4A56" w:rsidRDefault="007C4A56">
        <w:pPr>
          <w:pStyle w:val="Piedepgina"/>
          <w:jc w:val="right"/>
        </w:pPr>
        <w:r>
          <w:fldChar w:fldCharType="begin"/>
        </w:r>
        <w:r>
          <w:instrText>PAGE   \* MERGEFORMAT</w:instrText>
        </w:r>
        <w:r>
          <w:fldChar w:fldCharType="separate"/>
        </w:r>
        <w:r w:rsidR="00151904" w:rsidRPr="00151904">
          <w:rPr>
            <w:noProof/>
            <w:lang w:val="es-ES"/>
          </w:rPr>
          <w:t>1</w:t>
        </w:r>
        <w:r>
          <w:fldChar w:fldCharType="end"/>
        </w:r>
      </w:p>
    </w:sdtContent>
  </w:sdt>
  <w:p w:rsidR="0014332C" w:rsidRDefault="00143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D9" w:rsidRDefault="003107D9" w:rsidP="00257EF1">
      <w:pPr>
        <w:spacing w:after="0" w:line="240" w:lineRule="auto"/>
      </w:pPr>
      <w:r>
        <w:separator/>
      </w:r>
    </w:p>
  </w:footnote>
  <w:footnote w:type="continuationSeparator" w:id="0">
    <w:p w:rsidR="003107D9" w:rsidRDefault="003107D9" w:rsidP="00257EF1">
      <w:pPr>
        <w:spacing w:after="0" w:line="240" w:lineRule="auto"/>
      </w:pPr>
      <w:r>
        <w:continuationSeparator/>
      </w:r>
    </w:p>
  </w:footnote>
  <w:footnote w:id="1">
    <w:p w:rsidR="008A6068" w:rsidRDefault="008A6068" w:rsidP="005927D1">
      <w:pPr>
        <w:pStyle w:val="Textonotapie"/>
        <w:spacing w:after="0" w:line="240" w:lineRule="auto"/>
        <w:jc w:val="both"/>
        <w:rPr>
          <w:rFonts w:ascii="Arial" w:hAnsi="Arial" w:cs="Arial"/>
          <w:color w:val="555555"/>
          <w:sz w:val="19"/>
          <w:szCs w:val="19"/>
          <w:shd w:val="clear" w:color="auto" w:fill="FFFFFF"/>
        </w:rPr>
      </w:pPr>
      <w:r>
        <w:rPr>
          <w:rStyle w:val="Refdenotaalpie"/>
        </w:rPr>
        <w:footnoteRef/>
      </w:r>
      <w:r>
        <w:t xml:space="preserve"> </w:t>
      </w:r>
      <w:r w:rsidRPr="00A86114">
        <w:rPr>
          <w:rFonts w:ascii="Times New Roman" w:hAnsi="Times New Roman"/>
          <w:color w:val="000000"/>
          <w:sz w:val="16"/>
        </w:rPr>
        <w:t xml:space="preserve">Doctor en Derecho por </w:t>
      </w:r>
      <w:smartTag w:uri="urn:schemas-microsoft-com:office:smarttags" w:element="PersonName">
        <w:smartTagPr>
          <w:attr w:name="ProductID" w:val="la Universidad"/>
        </w:smartTagPr>
        <w:r w:rsidRPr="00A86114">
          <w:rPr>
            <w:rFonts w:ascii="Times New Roman" w:hAnsi="Times New Roman"/>
            <w:color w:val="000000"/>
            <w:sz w:val="16"/>
          </w:rPr>
          <w:t>la Universidad</w:t>
        </w:r>
      </w:smartTag>
      <w:r w:rsidRPr="00A86114">
        <w:rPr>
          <w:rFonts w:ascii="Times New Roman" w:hAnsi="Times New Roman"/>
          <w:color w:val="000000"/>
          <w:sz w:val="16"/>
        </w:rPr>
        <w:t xml:space="preserve"> de Buenos Aires. Director del Master en Derecho Administrativo de </w:t>
      </w:r>
      <w:smartTag w:uri="urn:schemas-microsoft-com:office:smarttags" w:element="PersonName">
        <w:smartTagPr>
          <w:attr w:name="ProductID" w:val="la Universidad Abierta"/>
        </w:smartTagPr>
        <w:r w:rsidRPr="00A86114">
          <w:rPr>
            <w:rFonts w:ascii="Times New Roman" w:hAnsi="Times New Roman"/>
            <w:color w:val="000000"/>
            <w:sz w:val="16"/>
          </w:rPr>
          <w:t>la Universidad Abierta</w:t>
        </w:r>
      </w:smartTag>
      <w:r w:rsidRPr="00A86114">
        <w:rPr>
          <w:rFonts w:ascii="Times New Roman" w:hAnsi="Times New Roman"/>
          <w:color w:val="000000"/>
          <w:sz w:val="16"/>
        </w:rPr>
        <w:t xml:space="preserve"> Interamericana. Profesor Regular Adjunto de Derecho Administrativo de </w:t>
      </w:r>
      <w:smartTag w:uri="urn:schemas-microsoft-com:office:smarttags" w:element="PersonName">
        <w:smartTagPr>
          <w:attr w:name="ProductID" w:val="la Universidad"/>
        </w:smartTagPr>
        <w:r w:rsidRPr="00A86114">
          <w:rPr>
            <w:rFonts w:ascii="Times New Roman" w:hAnsi="Times New Roman"/>
            <w:color w:val="000000"/>
            <w:sz w:val="16"/>
          </w:rPr>
          <w:t>la Universidad</w:t>
        </w:r>
      </w:smartTag>
      <w:r w:rsidRPr="00A86114">
        <w:rPr>
          <w:rFonts w:ascii="Times New Roman" w:hAnsi="Times New Roman"/>
          <w:color w:val="000000"/>
          <w:sz w:val="16"/>
        </w:rPr>
        <w:t xml:space="preserve"> de Buenos Aires. Profesor Asociado de Derecho Político de </w:t>
      </w:r>
      <w:smartTag w:uri="urn:schemas-microsoft-com:office:smarttags" w:element="PersonName">
        <w:smartTagPr>
          <w:attr w:name="ProductID" w:val="la Universidad"/>
        </w:smartTagPr>
        <w:r w:rsidRPr="00A86114">
          <w:rPr>
            <w:rFonts w:ascii="Times New Roman" w:hAnsi="Times New Roman"/>
            <w:color w:val="000000"/>
            <w:sz w:val="16"/>
          </w:rPr>
          <w:t>la Universidad</w:t>
        </w:r>
      </w:smartTag>
      <w:r w:rsidRPr="00A86114">
        <w:rPr>
          <w:rFonts w:ascii="Times New Roman" w:hAnsi="Times New Roman"/>
          <w:color w:val="000000"/>
          <w:sz w:val="16"/>
        </w:rPr>
        <w:t xml:space="preserve"> del Salvador. Defensor Oficial del fuero contencioso administrativo y tributario de la Ciudad de Buenos Aires.</w:t>
      </w:r>
      <w:r w:rsidR="0014332C">
        <w:rPr>
          <w:rFonts w:ascii="Times New Roman" w:hAnsi="Times New Roman"/>
          <w:color w:val="000000"/>
          <w:sz w:val="16"/>
        </w:rPr>
        <w:t xml:space="preserve"> </w:t>
      </w:r>
    </w:p>
    <w:p w:rsidR="0014332C" w:rsidRDefault="0014332C" w:rsidP="005927D1">
      <w:pPr>
        <w:pStyle w:val="Textonotapie"/>
        <w:spacing w:after="0" w:line="240" w:lineRule="auto"/>
        <w:jc w:val="both"/>
      </w:pPr>
    </w:p>
  </w:footnote>
  <w:footnote w:id="2">
    <w:p w:rsidR="00EB761E" w:rsidRDefault="00EB761E" w:rsidP="00C37E91">
      <w:pPr>
        <w:pStyle w:val="Textonotapie"/>
        <w:spacing w:after="0" w:line="240" w:lineRule="auto"/>
        <w:jc w:val="both"/>
      </w:pPr>
      <w:r>
        <w:rPr>
          <w:rStyle w:val="Refdenotaalpie"/>
        </w:rPr>
        <w:footnoteRef/>
      </w:r>
      <w:r>
        <w:t xml:space="preserve"> </w:t>
      </w:r>
      <w:r w:rsidRPr="00C37E91">
        <w:rPr>
          <w:rFonts w:ascii="Times New Roman" w:hAnsi="Times New Roman"/>
          <w:sz w:val="16"/>
          <w:szCs w:val="16"/>
        </w:rPr>
        <w:t>La referida acción está prevista en el artículo 113 inc. 2 de la Constitución de la Ciudad de Buenos Aires. Posteriormente, fue regulada mediante la ley 402.</w:t>
      </w:r>
    </w:p>
  </w:footnote>
  <w:footnote w:id="3">
    <w:p w:rsidR="00EB761E" w:rsidRDefault="00EB761E" w:rsidP="00B665AD">
      <w:pPr>
        <w:spacing w:after="0" w:line="240" w:lineRule="auto"/>
        <w:jc w:val="both"/>
      </w:pPr>
      <w:r w:rsidRPr="00010E55">
        <w:rPr>
          <w:rStyle w:val="Refdenotaalpie"/>
          <w:sz w:val="16"/>
        </w:rPr>
        <w:footnoteRef/>
      </w:r>
      <w:r w:rsidRPr="00010E55">
        <w:t xml:space="preserve"> </w:t>
      </w:r>
      <w:r w:rsidRPr="001F7404">
        <w:rPr>
          <w:sz w:val="16"/>
        </w:rPr>
        <w:t xml:space="preserve">En el sitio web </w:t>
      </w:r>
      <w:hyperlink r:id="rId1" w:history="1">
        <w:r w:rsidRPr="001F7404">
          <w:rPr>
            <w:rStyle w:val="Hipervnculo"/>
            <w:sz w:val="16"/>
          </w:rPr>
          <w:t>www.youtube.com</w:t>
        </w:r>
      </w:hyperlink>
      <w:r w:rsidRPr="001F7404">
        <w:rPr>
          <w:sz w:val="16"/>
        </w:rPr>
        <w:t xml:space="preserve"> se puede observar que se han subido tres audiencias sobre esta cuestión. V. “</w:t>
      </w:r>
      <w:proofErr w:type="spellStart"/>
      <w:r w:rsidRPr="001F7404">
        <w:rPr>
          <w:rStyle w:val="watch-title"/>
          <w:rFonts w:cs="Arial"/>
          <w:bCs/>
          <w:color w:val="222222"/>
          <w:sz w:val="16"/>
          <w:szCs w:val="36"/>
          <w:bdr w:val="none" w:sz="0" w:space="0" w:color="auto" w:frame="1"/>
        </w:rPr>
        <w:t>Ludueña</w:t>
      </w:r>
      <w:proofErr w:type="spellEnd"/>
      <w:r w:rsidRPr="001F7404">
        <w:rPr>
          <w:rStyle w:val="watch-title"/>
          <w:rFonts w:cs="Arial"/>
          <w:bCs/>
          <w:color w:val="222222"/>
          <w:sz w:val="16"/>
          <w:szCs w:val="36"/>
          <w:bdr w:val="none" w:sz="0" w:space="0" w:color="auto" w:frame="1"/>
        </w:rPr>
        <w:t xml:space="preserve">, José Luis y otros c/GCBA s/acción declarativa de inconstitucionalidad" con tan solo cien visitas para una ciudad de tres millones de habitantes. Si se observa el video respectivo, se puede advertir que tan solo concurrieron cinco personas del público en general. Es decir, la misma cantidad que los miembros del Tribunal Superior. En la causa nº 9552/13 "Gil Domínguez, Andrés c/GCBA s/acción declarativa de inconstitucionalidad” con tan solo 192 visitas. En la </w:t>
      </w:r>
      <w:r w:rsidRPr="001F7404">
        <w:rPr>
          <w:rFonts w:cs="Arial"/>
          <w:color w:val="333333"/>
          <w:sz w:val="16"/>
          <w:shd w:val="clear" w:color="auto" w:fill="FFFFFF"/>
        </w:rPr>
        <w:t xml:space="preserve">causa nº 9066/12 "Central de Trabajadores de la Argentina (CTA) c/GCBA s/acción declarativa de inconstitucionalidad" el número de visitas es de 112. En suma, se puede concluir que al ciudadano común, no le interesa este tipo de acción. </w:t>
      </w:r>
    </w:p>
  </w:footnote>
  <w:footnote w:id="4">
    <w:p w:rsidR="008A6068" w:rsidRDefault="008A6068" w:rsidP="00547796">
      <w:pPr>
        <w:widowControl w:val="0"/>
        <w:suppressAutoHyphens/>
        <w:autoSpaceDE w:val="0"/>
        <w:autoSpaceDN w:val="0"/>
        <w:adjustRightInd w:val="0"/>
        <w:spacing w:after="0" w:line="240" w:lineRule="auto"/>
        <w:jc w:val="both"/>
      </w:pPr>
      <w:r>
        <w:rPr>
          <w:rStyle w:val="Refdenotaalpie"/>
        </w:rPr>
        <w:footnoteRef/>
      </w:r>
      <w:r>
        <w:t xml:space="preserve"> </w:t>
      </w:r>
      <w:r w:rsidR="00A86114" w:rsidRPr="00A86114">
        <w:rPr>
          <w:rFonts w:ascii="Times New Roman" w:hAnsi="Times New Roman"/>
          <w:sz w:val="16"/>
        </w:rPr>
        <w:t>En el período que va desde el 1° de febrero de 1999 hasta e</w:t>
      </w:r>
      <w:r w:rsidRPr="00A86114">
        <w:rPr>
          <w:rFonts w:ascii="Times New Roman" w:hAnsi="Times New Roman" w:cs="Times New Roman"/>
          <w:color w:val="000000"/>
          <w:sz w:val="16"/>
          <w:szCs w:val="24"/>
        </w:rPr>
        <w:t>l 1 de julio de 2008 se interpusieron 143 acciones declarativas de inconstitucionalidad</w:t>
      </w:r>
      <w:r w:rsidR="00A86114">
        <w:rPr>
          <w:rFonts w:ascii="Times New Roman" w:hAnsi="Times New Roman" w:cs="Times New Roman"/>
          <w:color w:val="000000"/>
          <w:sz w:val="16"/>
          <w:szCs w:val="24"/>
        </w:rPr>
        <w:t xml:space="preserve"> y se rechazaron 91.</w:t>
      </w:r>
      <w:r w:rsidRPr="00A86114">
        <w:rPr>
          <w:rFonts w:ascii="Times New Roman" w:hAnsi="Times New Roman" w:cs="Times New Roman"/>
          <w:color w:val="000000"/>
          <w:sz w:val="16"/>
          <w:szCs w:val="24"/>
        </w:rPr>
        <w:t xml:space="preserve"> Es decir, un poco más del 63% (v. </w:t>
      </w:r>
      <w:r w:rsidRPr="00A86114">
        <w:rPr>
          <w:rFonts w:ascii="Times New Roman" w:hAnsi="Times New Roman"/>
          <w:color w:val="000000"/>
          <w:sz w:val="16"/>
        </w:rPr>
        <w:t xml:space="preserve">SAAVEDRA, Heriberto, </w:t>
      </w:r>
      <w:r w:rsidRPr="00A86114">
        <w:rPr>
          <w:rFonts w:ascii="Times New Roman" w:hAnsi="Times New Roman" w:cs="Times New Roman"/>
          <w:i/>
          <w:color w:val="000000"/>
          <w:sz w:val="16"/>
          <w:szCs w:val="24"/>
        </w:rPr>
        <w:t>La acción declarativa de inconstitucionalidad porteña. Diez años de ejercicio</w:t>
      </w:r>
      <w:r w:rsidRPr="00A86114">
        <w:rPr>
          <w:rFonts w:ascii="Times New Roman" w:hAnsi="Times New Roman" w:cs="Times New Roman"/>
          <w:color w:val="000000"/>
          <w:sz w:val="16"/>
          <w:szCs w:val="24"/>
        </w:rPr>
        <w:t xml:space="preserve">, artículo publicado en Revista Jurídica </w:t>
      </w:r>
      <w:smartTag w:uri="urn:schemas-microsoft-com:office:smarttags" w:element="PersonName">
        <w:smartTagPr>
          <w:attr w:name="ProductID" w:val="La Ley-Suplemento Actualidad"/>
        </w:smartTagPr>
        <w:r w:rsidRPr="00A86114">
          <w:rPr>
            <w:rFonts w:ascii="Times New Roman" w:hAnsi="Times New Roman" w:cs="Times New Roman"/>
            <w:color w:val="000000"/>
            <w:sz w:val="16"/>
            <w:szCs w:val="24"/>
          </w:rPr>
          <w:t>La Ley-Suplemento Actualidad</w:t>
        </w:r>
      </w:smartTag>
      <w:r w:rsidRPr="00A86114">
        <w:rPr>
          <w:rFonts w:ascii="Times New Roman" w:hAnsi="Times New Roman" w:cs="Times New Roman"/>
          <w:color w:val="000000"/>
          <w:sz w:val="16"/>
          <w:szCs w:val="24"/>
        </w:rPr>
        <w:t xml:space="preserve"> del 20 de noviembre de 2008).</w:t>
      </w:r>
    </w:p>
  </w:footnote>
  <w:footnote w:id="5">
    <w:p w:rsidR="008A6068" w:rsidRDefault="008A6068" w:rsidP="008F4FB4">
      <w:pPr>
        <w:pStyle w:val="Textonotapie"/>
        <w:spacing w:after="0"/>
      </w:pPr>
      <w:r>
        <w:rPr>
          <w:rStyle w:val="Refdenotaalpie"/>
        </w:rPr>
        <w:footnoteRef/>
      </w:r>
      <w:r>
        <w:t xml:space="preserve"> </w:t>
      </w:r>
      <w:r w:rsidRPr="008F4FB4">
        <w:rPr>
          <w:rFonts w:ascii="Times New Roman" w:hAnsi="Times New Roman"/>
          <w:sz w:val="16"/>
        </w:rPr>
        <w:t>Est</w:t>
      </w:r>
      <w:r w:rsidR="008F4FB4" w:rsidRPr="008F4FB4">
        <w:rPr>
          <w:rFonts w:ascii="Times New Roman" w:hAnsi="Times New Roman"/>
          <w:sz w:val="16"/>
        </w:rPr>
        <w:t xml:space="preserve">e porcentaje puede variar, pues en </w:t>
      </w:r>
      <w:r w:rsidRPr="008F4FB4">
        <w:rPr>
          <w:rFonts w:ascii="Times New Roman" w:hAnsi="Times New Roman"/>
          <w:sz w:val="16"/>
        </w:rPr>
        <w:t>un 10,73% es desconocida la calidad del actor.</w:t>
      </w:r>
    </w:p>
  </w:footnote>
  <w:footnote w:id="6">
    <w:p w:rsidR="002D6AE5" w:rsidRDefault="002D6AE5" w:rsidP="00194BCC">
      <w:pPr>
        <w:pStyle w:val="Textonotapie"/>
        <w:spacing w:after="0" w:line="240" w:lineRule="auto"/>
        <w:jc w:val="both"/>
      </w:pPr>
      <w:r>
        <w:rPr>
          <w:rStyle w:val="Refdenotaalpie"/>
        </w:rPr>
        <w:footnoteRef/>
      </w:r>
      <w:r>
        <w:t xml:space="preserve"> </w:t>
      </w:r>
      <w:r w:rsidRPr="001F7404">
        <w:rPr>
          <w:sz w:val="16"/>
        </w:rPr>
        <w:t xml:space="preserve">El último fallo publicado en el portal del TSJ es el </w:t>
      </w:r>
      <w:proofErr w:type="spellStart"/>
      <w:r w:rsidRPr="001F7404">
        <w:rPr>
          <w:sz w:val="16"/>
        </w:rPr>
        <w:t>Expte</w:t>
      </w:r>
      <w:proofErr w:type="spellEnd"/>
      <w:r w:rsidRPr="001F7404">
        <w:rPr>
          <w:sz w:val="16"/>
        </w:rPr>
        <w:t xml:space="preserve">. No. 9281, del 4 de noviembre de 2014,  </w:t>
      </w:r>
      <w:hyperlink r:id="rId2" w:history="1">
        <w:r w:rsidRPr="001F7404">
          <w:rPr>
            <w:rStyle w:val="Hipervnculo"/>
            <w:sz w:val="16"/>
          </w:rPr>
          <w:t>http://www.tsjbaires.gov.ar/images/stories/fallos/2014-11-04_%20expte.%20_9281-12_gcba%20en%20hbfuller.pdf</w:t>
        </w:r>
      </w:hyperlink>
      <w:r w:rsidRPr="001F7404">
        <w:rPr>
          <w:sz w:val="16"/>
        </w:rPr>
        <w:t>, consultado el 9 de diciembre de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771E"/>
    <w:multiLevelType w:val="multilevel"/>
    <w:tmpl w:val="3CF4D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3A674490"/>
    <w:multiLevelType w:val="hybridMultilevel"/>
    <w:tmpl w:val="02F0FB98"/>
    <w:lvl w:ilvl="0" w:tplc="BBC033FE">
      <w:numFmt w:val="bullet"/>
      <w:lvlText w:val="—"/>
      <w:lvlJc w:val="left"/>
      <w:pPr>
        <w:ind w:left="1069" w:hanging="360"/>
      </w:pPr>
      <w:rPr>
        <w:rFonts w:ascii="Arial" w:eastAsia="Times New Roman" w:hAnsi="Arial" w:cs="Aria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
    <w:nsid w:val="67B31108"/>
    <w:multiLevelType w:val="multilevel"/>
    <w:tmpl w:val="335E0040"/>
    <w:lvl w:ilvl="0">
      <w:start w:val="1"/>
      <w:numFmt w:val="upperRoman"/>
      <w:pStyle w:val="Ttulo1"/>
      <w:suff w:val="space"/>
      <w:lvlText w:val="%1."/>
      <w:lvlJc w:val="left"/>
      <w:pPr>
        <w:ind w:left="360" w:hanging="360"/>
      </w:pPr>
      <w:rPr>
        <w:rFonts w:ascii="Georgia" w:hAnsi="Georgia" w:hint="default"/>
        <w:sz w:val="28"/>
      </w:rPr>
    </w:lvl>
    <w:lvl w:ilvl="1">
      <w:start w:val="1"/>
      <w:numFmt w:val="decimal"/>
      <w:pStyle w:val="Ttulo2"/>
      <w:suff w:val="space"/>
      <w:lvlText w:val="%1.%2."/>
      <w:lvlJc w:val="left"/>
      <w:pPr>
        <w:ind w:left="720" w:hanging="360"/>
      </w:pPr>
      <w:rPr>
        <w:rFonts w:ascii="Georgia" w:hAnsi="Georgia" w:hint="default"/>
        <w:sz w:val="26"/>
      </w:rPr>
    </w:lvl>
    <w:lvl w:ilvl="2">
      <w:start w:val="1"/>
      <w:numFmt w:val="lowerLetter"/>
      <w:pStyle w:val="Ttulo3"/>
      <w:suff w:val="space"/>
      <w:lvlText w:val="%1.%2.%3."/>
      <w:lvlJc w:val="left"/>
      <w:pPr>
        <w:ind w:left="1080" w:hanging="360"/>
      </w:pPr>
      <w:rPr>
        <w:rFonts w:ascii="Georgia" w:hAnsi="Georgia"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9A"/>
    <w:rsid w:val="00001296"/>
    <w:rsid w:val="00007695"/>
    <w:rsid w:val="00014FE8"/>
    <w:rsid w:val="0002512E"/>
    <w:rsid w:val="00037D12"/>
    <w:rsid w:val="00042103"/>
    <w:rsid w:val="0004335C"/>
    <w:rsid w:val="0004589C"/>
    <w:rsid w:val="000645D2"/>
    <w:rsid w:val="00067113"/>
    <w:rsid w:val="0007533F"/>
    <w:rsid w:val="00081E90"/>
    <w:rsid w:val="00086BA7"/>
    <w:rsid w:val="000A4BA6"/>
    <w:rsid w:val="000A6BCD"/>
    <w:rsid w:val="000B49E6"/>
    <w:rsid w:val="000D10A7"/>
    <w:rsid w:val="000D775F"/>
    <w:rsid w:val="000E3003"/>
    <w:rsid w:val="000F14CF"/>
    <w:rsid w:val="001070FD"/>
    <w:rsid w:val="00116B5D"/>
    <w:rsid w:val="00124A5C"/>
    <w:rsid w:val="00132921"/>
    <w:rsid w:val="001347AD"/>
    <w:rsid w:val="0014332C"/>
    <w:rsid w:val="00143790"/>
    <w:rsid w:val="00151904"/>
    <w:rsid w:val="00161EFA"/>
    <w:rsid w:val="001637B7"/>
    <w:rsid w:val="001678E5"/>
    <w:rsid w:val="00181005"/>
    <w:rsid w:val="00194BCC"/>
    <w:rsid w:val="00195585"/>
    <w:rsid w:val="002061CB"/>
    <w:rsid w:val="00226F09"/>
    <w:rsid w:val="00230CC6"/>
    <w:rsid w:val="00235A6D"/>
    <w:rsid w:val="00237C66"/>
    <w:rsid w:val="002550ED"/>
    <w:rsid w:val="00257978"/>
    <w:rsid w:val="00257EF1"/>
    <w:rsid w:val="00265B93"/>
    <w:rsid w:val="00276092"/>
    <w:rsid w:val="00293236"/>
    <w:rsid w:val="002A08CE"/>
    <w:rsid w:val="002B6C32"/>
    <w:rsid w:val="002C2EAD"/>
    <w:rsid w:val="002D67CA"/>
    <w:rsid w:val="002D6AE5"/>
    <w:rsid w:val="002E6AF0"/>
    <w:rsid w:val="002F05F2"/>
    <w:rsid w:val="003107D9"/>
    <w:rsid w:val="0031632D"/>
    <w:rsid w:val="00335133"/>
    <w:rsid w:val="003431E8"/>
    <w:rsid w:val="00347820"/>
    <w:rsid w:val="00360BB2"/>
    <w:rsid w:val="0037698A"/>
    <w:rsid w:val="0038210E"/>
    <w:rsid w:val="00393201"/>
    <w:rsid w:val="003B6C88"/>
    <w:rsid w:val="003C58CA"/>
    <w:rsid w:val="00405EB4"/>
    <w:rsid w:val="0042470A"/>
    <w:rsid w:val="0046356D"/>
    <w:rsid w:val="004709AE"/>
    <w:rsid w:val="004817B5"/>
    <w:rsid w:val="00487F3E"/>
    <w:rsid w:val="00494A9C"/>
    <w:rsid w:val="004A39AC"/>
    <w:rsid w:val="004B18A6"/>
    <w:rsid w:val="004C472A"/>
    <w:rsid w:val="004C7221"/>
    <w:rsid w:val="004E27B8"/>
    <w:rsid w:val="004E3F97"/>
    <w:rsid w:val="004F46F6"/>
    <w:rsid w:val="004F7A40"/>
    <w:rsid w:val="00512F9D"/>
    <w:rsid w:val="00535A5C"/>
    <w:rsid w:val="00536F64"/>
    <w:rsid w:val="00537515"/>
    <w:rsid w:val="005437B3"/>
    <w:rsid w:val="00547796"/>
    <w:rsid w:val="00572C67"/>
    <w:rsid w:val="005927D1"/>
    <w:rsid w:val="00597CAE"/>
    <w:rsid w:val="005C77A0"/>
    <w:rsid w:val="005E5991"/>
    <w:rsid w:val="006021C6"/>
    <w:rsid w:val="00616E0D"/>
    <w:rsid w:val="006218C5"/>
    <w:rsid w:val="00624199"/>
    <w:rsid w:val="00656525"/>
    <w:rsid w:val="00680E7A"/>
    <w:rsid w:val="006838D7"/>
    <w:rsid w:val="006865FC"/>
    <w:rsid w:val="006C4BF2"/>
    <w:rsid w:val="006F1175"/>
    <w:rsid w:val="006F1A00"/>
    <w:rsid w:val="006F2914"/>
    <w:rsid w:val="00702F5C"/>
    <w:rsid w:val="0071720E"/>
    <w:rsid w:val="00730F4C"/>
    <w:rsid w:val="00732E3F"/>
    <w:rsid w:val="00751EB6"/>
    <w:rsid w:val="00756B5F"/>
    <w:rsid w:val="00773575"/>
    <w:rsid w:val="0077616D"/>
    <w:rsid w:val="0078086B"/>
    <w:rsid w:val="007930E8"/>
    <w:rsid w:val="007A0AD2"/>
    <w:rsid w:val="007B04F5"/>
    <w:rsid w:val="007B1628"/>
    <w:rsid w:val="007C4A56"/>
    <w:rsid w:val="007D414E"/>
    <w:rsid w:val="007E5050"/>
    <w:rsid w:val="00803670"/>
    <w:rsid w:val="00812BE6"/>
    <w:rsid w:val="0081585C"/>
    <w:rsid w:val="008174DC"/>
    <w:rsid w:val="008368C6"/>
    <w:rsid w:val="00847351"/>
    <w:rsid w:val="00850996"/>
    <w:rsid w:val="00850F62"/>
    <w:rsid w:val="00851D44"/>
    <w:rsid w:val="00882021"/>
    <w:rsid w:val="008922E3"/>
    <w:rsid w:val="008932AC"/>
    <w:rsid w:val="008948E2"/>
    <w:rsid w:val="008A6068"/>
    <w:rsid w:val="008A69E6"/>
    <w:rsid w:val="008B5057"/>
    <w:rsid w:val="008B5CFE"/>
    <w:rsid w:val="008E3507"/>
    <w:rsid w:val="008E43B4"/>
    <w:rsid w:val="008E7B41"/>
    <w:rsid w:val="008F4FB4"/>
    <w:rsid w:val="00900DD9"/>
    <w:rsid w:val="00902643"/>
    <w:rsid w:val="00913F0E"/>
    <w:rsid w:val="00925CC0"/>
    <w:rsid w:val="00926C5F"/>
    <w:rsid w:val="00945558"/>
    <w:rsid w:val="00946C1C"/>
    <w:rsid w:val="0095216A"/>
    <w:rsid w:val="0096656E"/>
    <w:rsid w:val="0098550F"/>
    <w:rsid w:val="009C30D1"/>
    <w:rsid w:val="009C34C0"/>
    <w:rsid w:val="009C5D4D"/>
    <w:rsid w:val="009C5F24"/>
    <w:rsid w:val="009F0A51"/>
    <w:rsid w:val="00A67E64"/>
    <w:rsid w:val="00A81246"/>
    <w:rsid w:val="00A86114"/>
    <w:rsid w:val="00AA000C"/>
    <w:rsid w:val="00AB012E"/>
    <w:rsid w:val="00AE71ED"/>
    <w:rsid w:val="00AF732B"/>
    <w:rsid w:val="00B01240"/>
    <w:rsid w:val="00B01952"/>
    <w:rsid w:val="00B01FA6"/>
    <w:rsid w:val="00B04603"/>
    <w:rsid w:val="00B275B3"/>
    <w:rsid w:val="00B27DA1"/>
    <w:rsid w:val="00B3465B"/>
    <w:rsid w:val="00B45E39"/>
    <w:rsid w:val="00B46391"/>
    <w:rsid w:val="00B51F12"/>
    <w:rsid w:val="00B66583"/>
    <w:rsid w:val="00B665AD"/>
    <w:rsid w:val="00B8180F"/>
    <w:rsid w:val="00B83111"/>
    <w:rsid w:val="00B934EF"/>
    <w:rsid w:val="00BA3781"/>
    <w:rsid w:val="00BA4C99"/>
    <w:rsid w:val="00BA6351"/>
    <w:rsid w:val="00BA761B"/>
    <w:rsid w:val="00BB6826"/>
    <w:rsid w:val="00BC2726"/>
    <w:rsid w:val="00BC482F"/>
    <w:rsid w:val="00BD4886"/>
    <w:rsid w:val="00BF08F2"/>
    <w:rsid w:val="00C014A6"/>
    <w:rsid w:val="00C22A91"/>
    <w:rsid w:val="00C37E91"/>
    <w:rsid w:val="00C402BB"/>
    <w:rsid w:val="00C50039"/>
    <w:rsid w:val="00C56DB0"/>
    <w:rsid w:val="00C6070D"/>
    <w:rsid w:val="00C651F5"/>
    <w:rsid w:val="00C87DBF"/>
    <w:rsid w:val="00C91FED"/>
    <w:rsid w:val="00C94B96"/>
    <w:rsid w:val="00C953E5"/>
    <w:rsid w:val="00CB3CE5"/>
    <w:rsid w:val="00CB4D60"/>
    <w:rsid w:val="00CD4CE0"/>
    <w:rsid w:val="00CD595E"/>
    <w:rsid w:val="00CE2D70"/>
    <w:rsid w:val="00D00E94"/>
    <w:rsid w:val="00D0272A"/>
    <w:rsid w:val="00D05519"/>
    <w:rsid w:val="00D14B65"/>
    <w:rsid w:val="00D226C1"/>
    <w:rsid w:val="00D22F4B"/>
    <w:rsid w:val="00D510B2"/>
    <w:rsid w:val="00D60893"/>
    <w:rsid w:val="00D6493E"/>
    <w:rsid w:val="00D87D37"/>
    <w:rsid w:val="00D91B98"/>
    <w:rsid w:val="00DB6F3D"/>
    <w:rsid w:val="00DC53BF"/>
    <w:rsid w:val="00DC690F"/>
    <w:rsid w:val="00DC6F2E"/>
    <w:rsid w:val="00DD42E6"/>
    <w:rsid w:val="00DD63D1"/>
    <w:rsid w:val="00E03B5D"/>
    <w:rsid w:val="00E069CA"/>
    <w:rsid w:val="00E07DB7"/>
    <w:rsid w:val="00E1567B"/>
    <w:rsid w:val="00E16183"/>
    <w:rsid w:val="00E20D4F"/>
    <w:rsid w:val="00E23600"/>
    <w:rsid w:val="00E5289A"/>
    <w:rsid w:val="00E56693"/>
    <w:rsid w:val="00E57B99"/>
    <w:rsid w:val="00E603C9"/>
    <w:rsid w:val="00E6376E"/>
    <w:rsid w:val="00E6459B"/>
    <w:rsid w:val="00E65D6B"/>
    <w:rsid w:val="00E66C88"/>
    <w:rsid w:val="00E723D5"/>
    <w:rsid w:val="00E72828"/>
    <w:rsid w:val="00E80C4D"/>
    <w:rsid w:val="00E85A38"/>
    <w:rsid w:val="00E9542C"/>
    <w:rsid w:val="00EA174D"/>
    <w:rsid w:val="00EA20E0"/>
    <w:rsid w:val="00EB11D7"/>
    <w:rsid w:val="00EB29B6"/>
    <w:rsid w:val="00EB761E"/>
    <w:rsid w:val="00EF106A"/>
    <w:rsid w:val="00EF729A"/>
    <w:rsid w:val="00F07061"/>
    <w:rsid w:val="00F14272"/>
    <w:rsid w:val="00F233FF"/>
    <w:rsid w:val="00F32112"/>
    <w:rsid w:val="00F3492F"/>
    <w:rsid w:val="00F371AC"/>
    <w:rsid w:val="00F371F1"/>
    <w:rsid w:val="00F5571B"/>
    <w:rsid w:val="00F567DA"/>
    <w:rsid w:val="00F76AAF"/>
    <w:rsid w:val="00F8082A"/>
    <w:rsid w:val="00FA1A8A"/>
    <w:rsid w:val="00FA60C9"/>
    <w:rsid w:val="00FB1A5E"/>
    <w:rsid w:val="00FB40A8"/>
    <w:rsid w:val="00FD1F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E5"/>
    <w:pPr>
      <w:spacing w:after="1000" w:line="360" w:lineRule="auto"/>
    </w:pPr>
    <w:rPr>
      <w:rFonts w:ascii="Georgia" w:eastAsia="Times New Roman" w:hAnsi="Georgia"/>
      <w:sz w:val="24"/>
    </w:rPr>
  </w:style>
  <w:style w:type="paragraph" w:styleId="Ttulo1">
    <w:name w:val="heading 1"/>
    <w:basedOn w:val="Normal"/>
    <w:next w:val="Normal"/>
    <w:link w:val="Ttulo1Car"/>
    <w:uiPriority w:val="9"/>
    <w:qFormat/>
    <w:rsid w:val="00EB761E"/>
    <w:pPr>
      <w:keepNext/>
      <w:keepLines/>
      <w:numPr>
        <w:numId w:val="4"/>
      </w:numPr>
      <w:spacing w:after="0"/>
      <w:ind w:left="0" w:firstLine="1418"/>
      <w:jc w:val="both"/>
      <w:outlineLvl w:val="0"/>
    </w:pPr>
    <w:rPr>
      <w:rFonts w:cs="Times New Roman"/>
      <w:b/>
      <w:bCs/>
      <w:color w:val="000000"/>
      <w:sz w:val="28"/>
      <w:szCs w:val="28"/>
      <w:lang w:val="x-none" w:eastAsia="x-none"/>
    </w:rPr>
  </w:style>
  <w:style w:type="paragraph" w:styleId="Ttulo2">
    <w:name w:val="heading 2"/>
    <w:basedOn w:val="Normal"/>
    <w:next w:val="Normal"/>
    <w:link w:val="Ttulo2Car"/>
    <w:uiPriority w:val="9"/>
    <w:qFormat/>
    <w:rsid w:val="002D6AE5"/>
    <w:pPr>
      <w:keepNext/>
      <w:keepLines/>
      <w:numPr>
        <w:ilvl w:val="1"/>
        <w:numId w:val="4"/>
      </w:numPr>
      <w:spacing w:after="0"/>
      <w:ind w:left="0" w:firstLine="1418"/>
      <w:outlineLvl w:val="1"/>
    </w:pPr>
    <w:rPr>
      <w:rFonts w:cs="Times New Roman"/>
      <w:b/>
      <w:bCs/>
      <w:color w:val="000000"/>
      <w:sz w:val="26"/>
      <w:szCs w:val="26"/>
      <w:lang w:val="x-none" w:eastAsia="x-none"/>
    </w:rPr>
  </w:style>
  <w:style w:type="paragraph" w:styleId="Ttulo3">
    <w:name w:val="heading 3"/>
    <w:basedOn w:val="Normal"/>
    <w:next w:val="Normal"/>
    <w:link w:val="Ttulo3Car"/>
    <w:uiPriority w:val="9"/>
    <w:qFormat/>
    <w:rsid w:val="00AB012E"/>
    <w:pPr>
      <w:keepNext/>
      <w:keepLines/>
      <w:numPr>
        <w:ilvl w:val="2"/>
        <w:numId w:val="4"/>
      </w:numPr>
      <w:spacing w:after="0"/>
      <w:ind w:left="0" w:firstLine="1418"/>
      <w:outlineLvl w:val="2"/>
    </w:pPr>
    <w:rPr>
      <w:rFonts w:cs="Times New Roman"/>
      <w:b/>
      <w:bCs/>
      <w:color w:val="00000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761E"/>
    <w:rPr>
      <w:rFonts w:ascii="Georgia" w:eastAsia="Times New Roman" w:hAnsi="Georgia" w:cs="Times New Roman"/>
      <w:b/>
      <w:bCs/>
      <w:color w:val="000000"/>
      <w:sz w:val="28"/>
      <w:szCs w:val="28"/>
      <w:lang w:val="x-none" w:eastAsia="x-none"/>
    </w:rPr>
  </w:style>
  <w:style w:type="character" w:customStyle="1" w:styleId="Ttulo2Car">
    <w:name w:val="Título 2 Car"/>
    <w:link w:val="Ttulo2"/>
    <w:uiPriority w:val="9"/>
    <w:rsid w:val="002D6AE5"/>
    <w:rPr>
      <w:rFonts w:ascii="Georgia" w:eastAsia="Times New Roman" w:hAnsi="Georgia" w:cs="Times New Roman"/>
      <w:b/>
      <w:bCs/>
      <w:color w:val="000000"/>
      <w:sz w:val="26"/>
      <w:szCs w:val="26"/>
    </w:rPr>
  </w:style>
  <w:style w:type="character" w:customStyle="1" w:styleId="Ttulo3Car">
    <w:name w:val="Título 3 Car"/>
    <w:link w:val="Ttulo3"/>
    <w:uiPriority w:val="9"/>
    <w:rsid w:val="00AB012E"/>
    <w:rPr>
      <w:rFonts w:ascii="Georgia" w:eastAsia="Times New Roman" w:hAnsi="Georgia" w:cs="Times New Roman"/>
      <w:b/>
      <w:bCs/>
      <w:color w:val="000000"/>
      <w:sz w:val="24"/>
      <w:lang w:val="x-none" w:eastAsia="x-none"/>
    </w:rPr>
  </w:style>
  <w:style w:type="paragraph" w:styleId="Textonotapie">
    <w:name w:val="footnote text"/>
    <w:basedOn w:val="Normal"/>
    <w:link w:val="TextonotapieCar"/>
    <w:uiPriority w:val="99"/>
    <w:rsid w:val="00E5289A"/>
    <w:rPr>
      <w:rFonts w:ascii="Calibri" w:hAnsi="Calibri" w:cs="Times New Roman"/>
      <w:sz w:val="20"/>
    </w:rPr>
  </w:style>
  <w:style w:type="character" w:customStyle="1" w:styleId="TextonotapieCar">
    <w:name w:val="Texto nota pie Car"/>
    <w:link w:val="Textonotapie"/>
    <w:uiPriority w:val="99"/>
    <w:rsid w:val="00E5289A"/>
    <w:rPr>
      <w:rFonts w:ascii="Calibri" w:eastAsia="Times New Roman" w:hAnsi="Calibri" w:cs="Calibri"/>
      <w:sz w:val="20"/>
      <w:szCs w:val="20"/>
      <w:lang w:val="es-AR" w:eastAsia="es-AR"/>
    </w:rPr>
  </w:style>
  <w:style w:type="character" w:styleId="Refdenotaalpie">
    <w:name w:val="footnote reference"/>
    <w:uiPriority w:val="99"/>
    <w:rsid w:val="00E5289A"/>
    <w:rPr>
      <w:vertAlign w:val="superscript"/>
    </w:rPr>
  </w:style>
  <w:style w:type="character" w:customStyle="1" w:styleId="apple-converted-space">
    <w:name w:val="apple-converted-space"/>
    <w:basedOn w:val="Fuentedeprrafopredeter"/>
    <w:rsid w:val="00E03B5D"/>
  </w:style>
  <w:style w:type="paragraph" w:styleId="Textodeglobo">
    <w:name w:val="Balloon Text"/>
    <w:basedOn w:val="Normal"/>
    <w:link w:val="TextodegloboCar"/>
    <w:uiPriority w:val="99"/>
    <w:semiHidden/>
    <w:unhideWhenUsed/>
    <w:rsid w:val="0081585C"/>
    <w:pPr>
      <w:spacing w:after="0" w:line="240" w:lineRule="auto"/>
    </w:pPr>
    <w:rPr>
      <w:rFonts w:ascii="Tahoma" w:hAnsi="Tahoma" w:cs="Times New Roman"/>
      <w:sz w:val="20"/>
      <w:szCs w:val="16"/>
    </w:rPr>
  </w:style>
  <w:style w:type="character" w:customStyle="1" w:styleId="TextodegloboCar">
    <w:name w:val="Texto de globo Car"/>
    <w:link w:val="Textodeglobo"/>
    <w:uiPriority w:val="99"/>
    <w:semiHidden/>
    <w:rsid w:val="0081585C"/>
    <w:rPr>
      <w:rFonts w:ascii="Tahoma" w:eastAsia="Times New Roman" w:hAnsi="Tahoma" w:cs="Tahoma"/>
      <w:szCs w:val="16"/>
      <w:lang w:val="es-AR" w:eastAsia="es-AR"/>
    </w:rPr>
  </w:style>
  <w:style w:type="table" w:styleId="Tablaconcuadrcula">
    <w:name w:val="Table Grid"/>
    <w:basedOn w:val="Tablanormal"/>
    <w:uiPriority w:val="59"/>
    <w:rsid w:val="0081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2D6AE5"/>
    <w:rPr>
      <w:rFonts w:cs="Times New Roman"/>
      <w:color w:val="0000FF"/>
      <w:u w:val="single"/>
    </w:rPr>
  </w:style>
  <w:style w:type="character" w:customStyle="1" w:styleId="watch-title">
    <w:name w:val="watch-title"/>
    <w:basedOn w:val="Fuentedeprrafopredeter"/>
    <w:rsid w:val="00EB761E"/>
  </w:style>
  <w:style w:type="paragraph" w:styleId="Encabezado">
    <w:name w:val="header"/>
    <w:basedOn w:val="Normal"/>
    <w:link w:val="EncabezadoCar"/>
    <w:uiPriority w:val="99"/>
    <w:unhideWhenUsed/>
    <w:rsid w:val="0014332C"/>
    <w:pPr>
      <w:tabs>
        <w:tab w:val="center" w:pos="4419"/>
        <w:tab w:val="right" w:pos="8838"/>
      </w:tabs>
    </w:pPr>
  </w:style>
  <w:style w:type="character" w:customStyle="1" w:styleId="EncabezadoCar">
    <w:name w:val="Encabezado Car"/>
    <w:basedOn w:val="Fuentedeprrafopredeter"/>
    <w:link w:val="Encabezado"/>
    <w:uiPriority w:val="99"/>
    <w:rsid w:val="0014332C"/>
    <w:rPr>
      <w:rFonts w:ascii="Georgia" w:eastAsia="Times New Roman" w:hAnsi="Georgia"/>
      <w:sz w:val="24"/>
    </w:rPr>
  </w:style>
  <w:style w:type="paragraph" w:styleId="Piedepgina">
    <w:name w:val="footer"/>
    <w:basedOn w:val="Normal"/>
    <w:link w:val="PiedepginaCar"/>
    <w:uiPriority w:val="99"/>
    <w:unhideWhenUsed/>
    <w:rsid w:val="0014332C"/>
    <w:pPr>
      <w:tabs>
        <w:tab w:val="center" w:pos="4419"/>
        <w:tab w:val="right" w:pos="8838"/>
      </w:tabs>
    </w:pPr>
  </w:style>
  <w:style w:type="character" w:customStyle="1" w:styleId="PiedepginaCar">
    <w:name w:val="Pie de página Car"/>
    <w:basedOn w:val="Fuentedeprrafopredeter"/>
    <w:link w:val="Piedepgina"/>
    <w:uiPriority w:val="99"/>
    <w:rsid w:val="0014332C"/>
    <w:rPr>
      <w:rFonts w:ascii="Georgia" w:eastAsia="Times New Roman"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E5"/>
    <w:pPr>
      <w:spacing w:after="1000" w:line="360" w:lineRule="auto"/>
    </w:pPr>
    <w:rPr>
      <w:rFonts w:ascii="Georgia" w:eastAsia="Times New Roman" w:hAnsi="Georgia"/>
      <w:sz w:val="24"/>
    </w:rPr>
  </w:style>
  <w:style w:type="paragraph" w:styleId="Ttulo1">
    <w:name w:val="heading 1"/>
    <w:basedOn w:val="Normal"/>
    <w:next w:val="Normal"/>
    <w:link w:val="Ttulo1Car"/>
    <w:uiPriority w:val="9"/>
    <w:qFormat/>
    <w:rsid w:val="00EB761E"/>
    <w:pPr>
      <w:keepNext/>
      <w:keepLines/>
      <w:numPr>
        <w:numId w:val="4"/>
      </w:numPr>
      <w:spacing w:after="0"/>
      <w:ind w:left="0" w:firstLine="1418"/>
      <w:jc w:val="both"/>
      <w:outlineLvl w:val="0"/>
    </w:pPr>
    <w:rPr>
      <w:rFonts w:cs="Times New Roman"/>
      <w:b/>
      <w:bCs/>
      <w:color w:val="000000"/>
      <w:sz w:val="28"/>
      <w:szCs w:val="28"/>
      <w:lang w:val="x-none" w:eastAsia="x-none"/>
    </w:rPr>
  </w:style>
  <w:style w:type="paragraph" w:styleId="Ttulo2">
    <w:name w:val="heading 2"/>
    <w:basedOn w:val="Normal"/>
    <w:next w:val="Normal"/>
    <w:link w:val="Ttulo2Car"/>
    <w:uiPriority w:val="9"/>
    <w:qFormat/>
    <w:rsid w:val="002D6AE5"/>
    <w:pPr>
      <w:keepNext/>
      <w:keepLines/>
      <w:numPr>
        <w:ilvl w:val="1"/>
        <w:numId w:val="4"/>
      </w:numPr>
      <w:spacing w:after="0"/>
      <w:ind w:left="0" w:firstLine="1418"/>
      <w:outlineLvl w:val="1"/>
    </w:pPr>
    <w:rPr>
      <w:rFonts w:cs="Times New Roman"/>
      <w:b/>
      <w:bCs/>
      <w:color w:val="000000"/>
      <w:sz w:val="26"/>
      <w:szCs w:val="26"/>
      <w:lang w:val="x-none" w:eastAsia="x-none"/>
    </w:rPr>
  </w:style>
  <w:style w:type="paragraph" w:styleId="Ttulo3">
    <w:name w:val="heading 3"/>
    <w:basedOn w:val="Normal"/>
    <w:next w:val="Normal"/>
    <w:link w:val="Ttulo3Car"/>
    <w:uiPriority w:val="9"/>
    <w:qFormat/>
    <w:rsid w:val="00AB012E"/>
    <w:pPr>
      <w:keepNext/>
      <w:keepLines/>
      <w:numPr>
        <w:ilvl w:val="2"/>
        <w:numId w:val="4"/>
      </w:numPr>
      <w:spacing w:after="0"/>
      <w:ind w:left="0" w:firstLine="1418"/>
      <w:outlineLvl w:val="2"/>
    </w:pPr>
    <w:rPr>
      <w:rFonts w:cs="Times New Roman"/>
      <w:b/>
      <w:bCs/>
      <w:color w:val="00000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761E"/>
    <w:rPr>
      <w:rFonts w:ascii="Georgia" w:eastAsia="Times New Roman" w:hAnsi="Georgia" w:cs="Times New Roman"/>
      <w:b/>
      <w:bCs/>
      <w:color w:val="000000"/>
      <w:sz w:val="28"/>
      <w:szCs w:val="28"/>
      <w:lang w:val="x-none" w:eastAsia="x-none"/>
    </w:rPr>
  </w:style>
  <w:style w:type="character" w:customStyle="1" w:styleId="Ttulo2Car">
    <w:name w:val="Título 2 Car"/>
    <w:link w:val="Ttulo2"/>
    <w:uiPriority w:val="9"/>
    <w:rsid w:val="002D6AE5"/>
    <w:rPr>
      <w:rFonts w:ascii="Georgia" w:eastAsia="Times New Roman" w:hAnsi="Georgia" w:cs="Times New Roman"/>
      <w:b/>
      <w:bCs/>
      <w:color w:val="000000"/>
      <w:sz w:val="26"/>
      <w:szCs w:val="26"/>
    </w:rPr>
  </w:style>
  <w:style w:type="character" w:customStyle="1" w:styleId="Ttulo3Car">
    <w:name w:val="Título 3 Car"/>
    <w:link w:val="Ttulo3"/>
    <w:uiPriority w:val="9"/>
    <w:rsid w:val="00AB012E"/>
    <w:rPr>
      <w:rFonts w:ascii="Georgia" w:eastAsia="Times New Roman" w:hAnsi="Georgia" w:cs="Times New Roman"/>
      <w:b/>
      <w:bCs/>
      <w:color w:val="000000"/>
      <w:sz w:val="24"/>
      <w:lang w:val="x-none" w:eastAsia="x-none"/>
    </w:rPr>
  </w:style>
  <w:style w:type="paragraph" w:styleId="Textonotapie">
    <w:name w:val="footnote text"/>
    <w:basedOn w:val="Normal"/>
    <w:link w:val="TextonotapieCar"/>
    <w:uiPriority w:val="99"/>
    <w:rsid w:val="00E5289A"/>
    <w:rPr>
      <w:rFonts w:ascii="Calibri" w:hAnsi="Calibri" w:cs="Times New Roman"/>
      <w:sz w:val="20"/>
    </w:rPr>
  </w:style>
  <w:style w:type="character" w:customStyle="1" w:styleId="TextonotapieCar">
    <w:name w:val="Texto nota pie Car"/>
    <w:link w:val="Textonotapie"/>
    <w:uiPriority w:val="99"/>
    <w:rsid w:val="00E5289A"/>
    <w:rPr>
      <w:rFonts w:ascii="Calibri" w:eastAsia="Times New Roman" w:hAnsi="Calibri" w:cs="Calibri"/>
      <w:sz w:val="20"/>
      <w:szCs w:val="20"/>
      <w:lang w:val="es-AR" w:eastAsia="es-AR"/>
    </w:rPr>
  </w:style>
  <w:style w:type="character" w:styleId="Refdenotaalpie">
    <w:name w:val="footnote reference"/>
    <w:uiPriority w:val="99"/>
    <w:rsid w:val="00E5289A"/>
    <w:rPr>
      <w:vertAlign w:val="superscript"/>
    </w:rPr>
  </w:style>
  <w:style w:type="character" w:customStyle="1" w:styleId="apple-converted-space">
    <w:name w:val="apple-converted-space"/>
    <w:basedOn w:val="Fuentedeprrafopredeter"/>
    <w:rsid w:val="00E03B5D"/>
  </w:style>
  <w:style w:type="paragraph" w:styleId="Textodeglobo">
    <w:name w:val="Balloon Text"/>
    <w:basedOn w:val="Normal"/>
    <w:link w:val="TextodegloboCar"/>
    <w:uiPriority w:val="99"/>
    <w:semiHidden/>
    <w:unhideWhenUsed/>
    <w:rsid w:val="0081585C"/>
    <w:pPr>
      <w:spacing w:after="0" w:line="240" w:lineRule="auto"/>
    </w:pPr>
    <w:rPr>
      <w:rFonts w:ascii="Tahoma" w:hAnsi="Tahoma" w:cs="Times New Roman"/>
      <w:sz w:val="20"/>
      <w:szCs w:val="16"/>
    </w:rPr>
  </w:style>
  <w:style w:type="character" w:customStyle="1" w:styleId="TextodegloboCar">
    <w:name w:val="Texto de globo Car"/>
    <w:link w:val="Textodeglobo"/>
    <w:uiPriority w:val="99"/>
    <w:semiHidden/>
    <w:rsid w:val="0081585C"/>
    <w:rPr>
      <w:rFonts w:ascii="Tahoma" w:eastAsia="Times New Roman" w:hAnsi="Tahoma" w:cs="Tahoma"/>
      <w:szCs w:val="16"/>
      <w:lang w:val="es-AR" w:eastAsia="es-AR"/>
    </w:rPr>
  </w:style>
  <w:style w:type="table" w:styleId="Tablaconcuadrcula">
    <w:name w:val="Table Grid"/>
    <w:basedOn w:val="Tablanormal"/>
    <w:uiPriority w:val="59"/>
    <w:rsid w:val="0081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2D6AE5"/>
    <w:rPr>
      <w:rFonts w:cs="Times New Roman"/>
      <w:color w:val="0000FF"/>
      <w:u w:val="single"/>
    </w:rPr>
  </w:style>
  <w:style w:type="character" w:customStyle="1" w:styleId="watch-title">
    <w:name w:val="watch-title"/>
    <w:basedOn w:val="Fuentedeprrafopredeter"/>
    <w:rsid w:val="00EB761E"/>
  </w:style>
  <w:style w:type="paragraph" w:styleId="Encabezado">
    <w:name w:val="header"/>
    <w:basedOn w:val="Normal"/>
    <w:link w:val="EncabezadoCar"/>
    <w:uiPriority w:val="99"/>
    <w:unhideWhenUsed/>
    <w:rsid w:val="0014332C"/>
    <w:pPr>
      <w:tabs>
        <w:tab w:val="center" w:pos="4419"/>
        <w:tab w:val="right" w:pos="8838"/>
      </w:tabs>
    </w:pPr>
  </w:style>
  <w:style w:type="character" w:customStyle="1" w:styleId="EncabezadoCar">
    <w:name w:val="Encabezado Car"/>
    <w:basedOn w:val="Fuentedeprrafopredeter"/>
    <w:link w:val="Encabezado"/>
    <w:uiPriority w:val="99"/>
    <w:rsid w:val="0014332C"/>
    <w:rPr>
      <w:rFonts w:ascii="Georgia" w:eastAsia="Times New Roman" w:hAnsi="Georgia"/>
      <w:sz w:val="24"/>
    </w:rPr>
  </w:style>
  <w:style w:type="paragraph" w:styleId="Piedepgina">
    <w:name w:val="footer"/>
    <w:basedOn w:val="Normal"/>
    <w:link w:val="PiedepginaCar"/>
    <w:uiPriority w:val="99"/>
    <w:unhideWhenUsed/>
    <w:rsid w:val="0014332C"/>
    <w:pPr>
      <w:tabs>
        <w:tab w:val="center" w:pos="4419"/>
        <w:tab w:val="right" w:pos="8838"/>
      </w:tabs>
    </w:pPr>
  </w:style>
  <w:style w:type="character" w:customStyle="1" w:styleId="PiedepginaCar">
    <w:name w:val="Pie de página Car"/>
    <w:basedOn w:val="Fuentedeprrafopredeter"/>
    <w:link w:val="Piedepgina"/>
    <w:uiPriority w:val="99"/>
    <w:rsid w:val="0014332C"/>
    <w:rPr>
      <w:rFonts w:ascii="Georgia" w:eastAsia="Times New Roman"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485">
      <w:bodyDiv w:val="1"/>
      <w:marLeft w:val="0"/>
      <w:marRight w:val="0"/>
      <w:marTop w:val="0"/>
      <w:marBottom w:val="0"/>
      <w:divBdr>
        <w:top w:val="none" w:sz="0" w:space="0" w:color="auto"/>
        <w:left w:val="none" w:sz="0" w:space="0" w:color="auto"/>
        <w:bottom w:val="none" w:sz="0" w:space="0" w:color="auto"/>
        <w:right w:val="none" w:sz="0" w:space="0" w:color="auto"/>
      </w:divBdr>
    </w:div>
    <w:div w:id="259222026">
      <w:bodyDiv w:val="1"/>
      <w:marLeft w:val="0"/>
      <w:marRight w:val="0"/>
      <w:marTop w:val="0"/>
      <w:marBottom w:val="0"/>
      <w:divBdr>
        <w:top w:val="none" w:sz="0" w:space="0" w:color="auto"/>
        <w:left w:val="none" w:sz="0" w:space="0" w:color="auto"/>
        <w:bottom w:val="none" w:sz="0" w:space="0" w:color="auto"/>
        <w:right w:val="none" w:sz="0" w:space="0" w:color="auto"/>
      </w:divBdr>
      <w:divsChild>
        <w:div w:id="982201470">
          <w:marLeft w:val="0"/>
          <w:marRight w:val="0"/>
          <w:marTop w:val="0"/>
          <w:marBottom w:val="0"/>
          <w:divBdr>
            <w:top w:val="none" w:sz="0" w:space="0" w:color="auto"/>
            <w:left w:val="none" w:sz="0" w:space="0" w:color="auto"/>
            <w:bottom w:val="none" w:sz="0" w:space="0" w:color="auto"/>
            <w:right w:val="none" w:sz="0" w:space="0" w:color="auto"/>
          </w:divBdr>
        </w:div>
        <w:div w:id="1484152753">
          <w:marLeft w:val="0"/>
          <w:marRight w:val="0"/>
          <w:marTop w:val="0"/>
          <w:marBottom w:val="0"/>
          <w:divBdr>
            <w:top w:val="none" w:sz="0" w:space="0" w:color="auto"/>
            <w:left w:val="none" w:sz="0" w:space="0" w:color="auto"/>
            <w:bottom w:val="none" w:sz="0" w:space="0" w:color="auto"/>
            <w:right w:val="none" w:sz="0" w:space="0" w:color="auto"/>
          </w:divBdr>
        </w:div>
        <w:div w:id="1506245591">
          <w:marLeft w:val="0"/>
          <w:marRight w:val="0"/>
          <w:marTop w:val="0"/>
          <w:marBottom w:val="0"/>
          <w:divBdr>
            <w:top w:val="none" w:sz="0" w:space="0" w:color="auto"/>
            <w:left w:val="none" w:sz="0" w:space="0" w:color="auto"/>
            <w:bottom w:val="none" w:sz="0" w:space="0" w:color="auto"/>
            <w:right w:val="none" w:sz="0" w:space="0" w:color="auto"/>
          </w:divBdr>
        </w:div>
      </w:divsChild>
    </w:div>
    <w:div w:id="649216330">
      <w:bodyDiv w:val="1"/>
      <w:marLeft w:val="0"/>
      <w:marRight w:val="0"/>
      <w:marTop w:val="0"/>
      <w:marBottom w:val="0"/>
      <w:divBdr>
        <w:top w:val="none" w:sz="0" w:space="0" w:color="auto"/>
        <w:left w:val="none" w:sz="0" w:space="0" w:color="auto"/>
        <w:bottom w:val="none" w:sz="0" w:space="0" w:color="auto"/>
        <w:right w:val="none" w:sz="0" w:space="0" w:color="auto"/>
      </w:divBdr>
    </w:div>
    <w:div w:id="751660878">
      <w:bodyDiv w:val="1"/>
      <w:marLeft w:val="0"/>
      <w:marRight w:val="0"/>
      <w:marTop w:val="0"/>
      <w:marBottom w:val="0"/>
      <w:divBdr>
        <w:top w:val="none" w:sz="0" w:space="0" w:color="auto"/>
        <w:left w:val="none" w:sz="0" w:space="0" w:color="auto"/>
        <w:bottom w:val="none" w:sz="0" w:space="0" w:color="auto"/>
        <w:right w:val="none" w:sz="0" w:space="0" w:color="auto"/>
      </w:divBdr>
    </w:div>
    <w:div w:id="1019697514">
      <w:bodyDiv w:val="1"/>
      <w:marLeft w:val="0"/>
      <w:marRight w:val="0"/>
      <w:marTop w:val="0"/>
      <w:marBottom w:val="0"/>
      <w:divBdr>
        <w:top w:val="none" w:sz="0" w:space="0" w:color="auto"/>
        <w:left w:val="none" w:sz="0" w:space="0" w:color="auto"/>
        <w:bottom w:val="none" w:sz="0" w:space="0" w:color="auto"/>
        <w:right w:val="none" w:sz="0" w:space="0" w:color="auto"/>
      </w:divBdr>
    </w:div>
    <w:div w:id="1217231950">
      <w:bodyDiv w:val="1"/>
      <w:marLeft w:val="0"/>
      <w:marRight w:val="0"/>
      <w:marTop w:val="0"/>
      <w:marBottom w:val="0"/>
      <w:divBdr>
        <w:top w:val="none" w:sz="0" w:space="0" w:color="auto"/>
        <w:left w:val="none" w:sz="0" w:space="0" w:color="auto"/>
        <w:bottom w:val="none" w:sz="0" w:space="0" w:color="auto"/>
        <w:right w:val="none" w:sz="0" w:space="0" w:color="auto"/>
      </w:divBdr>
    </w:div>
    <w:div w:id="1223174427">
      <w:bodyDiv w:val="1"/>
      <w:marLeft w:val="0"/>
      <w:marRight w:val="0"/>
      <w:marTop w:val="0"/>
      <w:marBottom w:val="0"/>
      <w:divBdr>
        <w:top w:val="none" w:sz="0" w:space="0" w:color="auto"/>
        <w:left w:val="none" w:sz="0" w:space="0" w:color="auto"/>
        <w:bottom w:val="none" w:sz="0" w:space="0" w:color="auto"/>
        <w:right w:val="none" w:sz="0" w:space="0" w:color="auto"/>
      </w:divBdr>
    </w:div>
    <w:div w:id="1299610931">
      <w:bodyDiv w:val="1"/>
      <w:marLeft w:val="0"/>
      <w:marRight w:val="0"/>
      <w:marTop w:val="0"/>
      <w:marBottom w:val="0"/>
      <w:divBdr>
        <w:top w:val="none" w:sz="0" w:space="0" w:color="auto"/>
        <w:left w:val="none" w:sz="0" w:space="0" w:color="auto"/>
        <w:bottom w:val="none" w:sz="0" w:space="0" w:color="auto"/>
        <w:right w:val="none" w:sz="0" w:space="0" w:color="auto"/>
      </w:divBdr>
    </w:div>
    <w:div w:id="1309431347">
      <w:bodyDiv w:val="1"/>
      <w:marLeft w:val="0"/>
      <w:marRight w:val="0"/>
      <w:marTop w:val="0"/>
      <w:marBottom w:val="0"/>
      <w:divBdr>
        <w:top w:val="none" w:sz="0" w:space="0" w:color="auto"/>
        <w:left w:val="none" w:sz="0" w:space="0" w:color="auto"/>
        <w:bottom w:val="none" w:sz="0" w:space="0" w:color="auto"/>
        <w:right w:val="none" w:sz="0" w:space="0" w:color="auto"/>
      </w:divBdr>
    </w:div>
    <w:div w:id="1524901719">
      <w:bodyDiv w:val="1"/>
      <w:marLeft w:val="0"/>
      <w:marRight w:val="0"/>
      <w:marTop w:val="0"/>
      <w:marBottom w:val="0"/>
      <w:divBdr>
        <w:top w:val="none" w:sz="0" w:space="0" w:color="auto"/>
        <w:left w:val="none" w:sz="0" w:space="0" w:color="auto"/>
        <w:bottom w:val="none" w:sz="0" w:space="0" w:color="auto"/>
        <w:right w:val="none" w:sz="0" w:space="0" w:color="auto"/>
      </w:divBdr>
    </w:div>
    <w:div w:id="1527870430">
      <w:bodyDiv w:val="1"/>
      <w:marLeft w:val="0"/>
      <w:marRight w:val="0"/>
      <w:marTop w:val="0"/>
      <w:marBottom w:val="0"/>
      <w:divBdr>
        <w:top w:val="none" w:sz="0" w:space="0" w:color="auto"/>
        <w:left w:val="none" w:sz="0" w:space="0" w:color="auto"/>
        <w:bottom w:val="none" w:sz="0" w:space="0" w:color="auto"/>
        <w:right w:val="none" w:sz="0" w:space="0" w:color="auto"/>
      </w:divBdr>
    </w:div>
    <w:div w:id="1636258588">
      <w:bodyDiv w:val="1"/>
      <w:marLeft w:val="0"/>
      <w:marRight w:val="0"/>
      <w:marTop w:val="0"/>
      <w:marBottom w:val="0"/>
      <w:divBdr>
        <w:top w:val="none" w:sz="0" w:space="0" w:color="auto"/>
        <w:left w:val="none" w:sz="0" w:space="0" w:color="auto"/>
        <w:bottom w:val="none" w:sz="0" w:space="0" w:color="auto"/>
        <w:right w:val="none" w:sz="0" w:space="0" w:color="auto"/>
      </w:divBdr>
    </w:div>
    <w:div w:id="1671057669">
      <w:bodyDiv w:val="1"/>
      <w:marLeft w:val="0"/>
      <w:marRight w:val="0"/>
      <w:marTop w:val="0"/>
      <w:marBottom w:val="0"/>
      <w:divBdr>
        <w:top w:val="none" w:sz="0" w:space="0" w:color="auto"/>
        <w:left w:val="none" w:sz="0" w:space="0" w:color="auto"/>
        <w:bottom w:val="none" w:sz="0" w:space="0" w:color="auto"/>
        <w:right w:val="none" w:sz="0" w:space="0" w:color="auto"/>
      </w:divBdr>
    </w:div>
    <w:div w:id="1814787130">
      <w:bodyDiv w:val="1"/>
      <w:marLeft w:val="0"/>
      <w:marRight w:val="0"/>
      <w:marTop w:val="0"/>
      <w:marBottom w:val="0"/>
      <w:divBdr>
        <w:top w:val="none" w:sz="0" w:space="0" w:color="auto"/>
        <w:left w:val="none" w:sz="0" w:space="0" w:color="auto"/>
        <w:bottom w:val="none" w:sz="0" w:space="0" w:color="auto"/>
        <w:right w:val="none" w:sz="0" w:space="0" w:color="auto"/>
      </w:divBdr>
    </w:div>
    <w:div w:id="1896353190">
      <w:bodyDiv w:val="1"/>
      <w:marLeft w:val="0"/>
      <w:marRight w:val="0"/>
      <w:marTop w:val="0"/>
      <w:marBottom w:val="0"/>
      <w:divBdr>
        <w:top w:val="none" w:sz="0" w:space="0" w:color="auto"/>
        <w:left w:val="none" w:sz="0" w:space="0" w:color="auto"/>
        <w:bottom w:val="none" w:sz="0" w:space="0" w:color="auto"/>
        <w:right w:val="none" w:sz="0" w:space="0" w:color="auto"/>
      </w:divBdr>
    </w:div>
    <w:div w:id="1932808784">
      <w:bodyDiv w:val="1"/>
      <w:marLeft w:val="0"/>
      <w:marRight w:val="0"/>
      <w:marTop w:val="0"/>
      <w:marBottom w:val="0"/>
      <w:divBdr>
        <w:top w:val="none" w:sz="0" w:space="0" w:color="auto"/>
        <w:left w:val="none" w:sz="0" w:space="0" w:color="auto"/>
        <w:bottom w:val="none" w:sz="0" w:space="0" w:color="auto"/>
        <w:right w:val="none" w:sz="0" w:space="0" w:color="auto"/>
      </w:divBdr>
    </w:div>
    <w:div w:id="2035110413">
      <w:bodyDiv w:val="1"/>
      <w:marLeft w:val="0"/>
      <w:marRight w:val="0"/>
      <w:marTop w:val="0"/>
      <w:marBottom w:val="0"/>
      <w:divBdr>
        <w:top w:val="none" w:sz="0" w:space="0" w:color="auto"/>
        <w:left w:val="none" w:sz="0" w:space="0" w:color="auto"/>
        <w:bottom w:val="none" w:sz="0" w:space="0" w:color="auto"/>
        <w:right w:val="none" w:sz="0" w:space="0" w:color="auto"/>
      </w:divBdr>
    </w:div>
    <w:div w:id="20677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www.tsjbaires.gov.ar/images/stories/fallos/2014-11-04_%20expte.%20_9281-12_gcba%20en%20hbfuller.pdf" TargetMode="External"/><Relationship Id="rId1" Type="http://schemas.openxmlformats.org/officeDocument/2006/relationships/hyperlink" Target="http://www.youtub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05301-7124-45D3-8083-5D1C9BB6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APROXIMACIÓN CUANTITATIVA</vt:lpstr>
    </vt:vector>
  </TitlesOfParts>
  <Company>DIT</Company>
  <LinksUpToDate>false</LinksUpToDate>
  <CharactersWithSpaces>21049</CharactersWithSpaces>
  <SharedDoc>false</SharedDoc>
  <HLinks>
    <vt:vector size="12" baseType="variant">
      <vt:variant>
        <vt:i4>8060952</vt:i4>
      </vt:variant>
      <vt:variant>
        <vt:i4>3</vt:i4>
      </vt:variant>
      <vt:variant>
        <vt:i4>0</vt:i4>
      </vt:variant>
      <vt:variant>
        <vt:i4>5</vt:i4>
      </vt:variant>
      <vt:variant>
        <vt:lpwstr>http://www.tsjbaires.gov.ar/images/stories/fallos/2014-11-04_ expte. _9281-12_gcba en hbfuller.pdf</vt:lpwstr>
      </vt:variant>
      <vt:variant>
        <vt:lpwstr/>
      </vt:variant>
      <vt:variant>
        <vt:i4>3735656</vt:i4>
      </vt:variant>
      <vt:variant>
        <vt:i4>0</vt:i4>
      </vt:variant>
      <vt:variant>
        <vt:i4>0</vt:i4>
      </vt:variant>
      <vt:variant>
        <vt:i4>5</vt:i4>
      </vt:variant>
      <vt:variant>
        <vt:lpwstr>http://www.youtube.com/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APROXIMACIÓN CUANTITATIVA</dc:title>
  <dc:creator>jbarraza</dc:creator>
  <cp:lastModifiedBy>pato</cp:lastModifiedBy>
  <cp:revision>2</cp:revision>
  <dcterms:created xsi:type="dcterms:W3CDTF">2015-08-06T03:17:00Z</dcterms:created>
  <dcterms:modified xsi:type="dcterms:W3CDTF">2015-08-06T03:17:00Z</dcterms:modified>
</cp:coreProperties>
</file>